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屋面维修方案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铲除原屋面破坏卷材、女儿墙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卷材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砸除原有落水口、修复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修补女儿墙、阴角加</w:t>
      </w:r>
      <w:r>
        <w:rPr>
          <w:rFonts w:hint="eastAsia"/>
          <w:sz w:val="32"/>
          <w:szCs w:val="32"/>
          <w:lang w:val="en-US" w:eastAsia="zh-CN"/>
        </w:rPr>
        <w:t>45℃圆弧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原屋面破坏处修补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采用非固化+4mm厚SBS防水卷材防水+混凝土保护层</w:t>
      </w:r>
    </w:p>
    <w:tbl>
      <w:tblPr>
        <w:tblpPr w:leftFromText="180" w:rightFromText="180" w:vertAnchor="text" w:horzAnchor="page" w:tblpX="1449" w:tblpY="730"/>
        <w:tblOverlap w:val="never"/>
        <w:tblW w:w="9298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1"/>
        <w:gridCol w:w="2247"/>
        <w:gridCol w:w="2317"/>
        <w:gridCol w:w="2303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</w:trPr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2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工作量</w:t>
            </w:r>
          </w:p>
        </w:tc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0" w:hRule="atLeast"/>
        </w:trPr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非固化+4mm厚SBS+混凝土保护层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98元/㎡</w:t>
            </w:r>
          </w:p>
        </w:tc>
        <w:tc>
          <w:tcPr>
            <w:tcW w:w="2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678㎡</w:t>
            </w:r>
          </w:p>
        </w:tc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66444元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9298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备注：包含铲除原屋面破坏卷材、女儿墙卷材、落水口修复、新增2个落水管、屋面修补找坡，具体工程量按实际完成量测量以上包含9%增值税发票。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929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</w:tbl>
    <w:p>
      <w:pPr>
        <w:numPr>
          <w:numId w:val="0"/>
        </w:numPr>
        <w:rPr>
          <w:rFonts w:hint="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C14A5"/>
    <w:multiLevelType w:val="singleLevel"/>
    <w:tmpl w:val="5EDC14A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2E4048"/>
    <w:rsid w:val="28802338"/>
    <w:rsid w:val="386F0733"/>
    <w:rsid w:val="5D81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2020-05-12T02:02:43Z</dcterms:created>
  <dc:creator>Administrator</dc:creator>
  <cp:lastModifiedBy>容云</cp:lastModifiedBy>
  <dcterms:modified xsi:type="dcterms:W3CDTF">2020-05-12T02:18:56Z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