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12" w:lineRule="auto"/>
        <w:ind w:firstLine="0" w:firstLineChars="0"/>
        <w:jc w:val="center"/>
        <w:rPr>
          <w:rFonts w:asciiTheme="minorEastAsia" w:hAnsiTheme="minorEastAsia" w:cstheme="minorEastAsia"/>
          <w:kern w:val="10"/>
          <w:sz w:val="36"/>
          <w:szCs w:val="36"/>
          <w:u w:val="single"/>
        </w:rPr>
      </w:pPr>
      <w:r>
        <w:rPr>
          <w:rFonts w:hint="eastAsia" w:asciiTheme="minorEastAsia" w:hAnsiTheme="minorEastAsia" w:cstheme="minorEastAsia"/>
          <w:bCs/>
          <w:sz w:val="48"/>
          <w:szCs w:val="48"/>
        </w:rPr>
        <w:t>扬州市民卡“扬州公用事业缴费中心系统建设”云计算环境升级采购和服务</w:t>
      </w: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ind w:left="560" w:firstLine="0" w:firstLineChars="0"/>
        <w:jc w:val="center"/>
        <w:rPr>
          <w:rFonts w:asciiTheme="minorEastAsia" w:hAnsiTheme="minorEastAsia" w:cstheme="minorEastAsia"/>
          <w:b/>
          <w:spacing w:val="160"/>
          <w:kern w:val="36"/>
          <w:sz w:val="56"/>
          <w:szCs w:val="56"/>
        </w:rPr>
      </w:pPr>
      <w:r>
        <w:rPr>
          <w:rFonts w:hint="eastAsia" w:asciiTheme="minorEastAsia" w:hAnsiTheme="minorEastAsia" w:cstheme="minorEastAsia"/>
          <w:b/>
          <w:spacing w:val="160"/>
          <w:kern w:val="36"/>
          <w:sz w:val="56"/>
          <w:szCs w:val="56"/>
        </w:rPr>
        <w:t>招标文件</w:t>
      </w:r>
    </w:p>
    <w:p>
      <w:pPr>
        <w:snapToGrid w:val="0"/>
        <w:spacing w:line="312" w:lineRule="auto"/>
        <w:ind w:firstLine="0" w:firstLineChars="0"/>
        <w:jc w:val="center"/>
        <w:rPr>
          <w:rFonts w:hint="eastAsia" w:asciiTheme="minorEastAsia" w:hAnsiTheme="minorEastAsia" w:cstheme="minorEastAsia"/>
          <w:kern w:val="10"/>
          <w:sz w:val="36"/>
          <w:szCs w:val="36"/>
        </w:rPr>
      </w:pPr>
      <w:r>
        <w:rPr>
          <w:rFonts w:hint="eastAsia" w:asciiTheme="minorEastAsia" w:hAnsiTheme="minorEastAsia" w:cstheme="minorEastAsia"/>
          <w:kern w:val="10"/>
          <w:sz w:val="36"/>
          <w:szCs w:val="36"/>
        </w:rPr>
        <w:t>招标编号：</w:t>
      </w:r>
      <w:r>
        <w:rPr>
          <w:rFonts w:hint="eastAsia" w:asciiTheme="minorEastAsia" w:hAnsiTheme="minorEastAsia" w:cstheme="minorEastAsia"/>
          <w:kern w:val="10"/>
          <w:sz w:val="36"/>
          <w:szCs w:val="36"/>
          <w:lang w:val="en-US" w:eastAsia="zh-CN"/>
        </w:rPr>
        <w:t>SMK-ZB-2020-001</w:t>
      </w: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snapToGrid w:val="0"/>
        <w:spacing w:line="312" w:lineRule="auto"/>
        <w:rPr>
          <w:rFonts w:asciiTheme="minorEastAsia" w:hAnsiTheme="minorEastAsia" w:cstheme="minorEastAsia"/>
        </w:rPr>
      </w:pPr>
    </w:p>
    <w:p>
      <w:pPr>
        <w:snapToGrid w:val="0"/>
        <w:spacing w:line="312" w:lineRule="auto"/>
        <w:ind w:firstLine="640"/>
        <w:rPr>
          <w:rFonts w:asciiTheme="minorEastAsia" w:hAnsiTheme="minorEastAsia" w:cstheme="minorEastAsia"/>
          <w:sz w:val="32"/>
          <w:szCs w:val="32"/>
        </w:rPr>
      </w:pPr>
    </w:p>
    <w:p>
      <w:pPr>
        <w:snapToGrid w:val="0"/>
        <w:ind w:firstLine="960" w:firstLineChars="30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招   标   人：扬州市民卡有限责任公司</w:t>
      </w:r>
    </w:p>
    <w:p>
      <w:pPr>
        <w:pStyle w:val="31"/>
        <w:snapToGrid w:val="0"/>
        <w:rPr>
          <w:rFonts w:asciiTheme="minorEastAsia" w:hAnsiTheme="minorEastAsia" w:eastAsiaTheme="minorEastAsia" w:cstheme="minorEastAsia"/>
          <w:lang w:eastAsia="zh-CN"/>
        </w:rPr>
      </w:pPr>
    </w:p>
    <w:p>
      <w:pPr>
        <w:snapToGrid w:val="0"/>
        <w:ind w:firstLine="0" w:firstLineChars="0"/>
        <w:jc w:val="center"/>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招标代理机构：扬州市嘉诚造价咨询有限公司</w:t>
      </w:r>
    </w:p>
    <w:p>
      <w:pPr>
        <w:pStyle w:val="31"/>
        <w:snapToGrid w:val="0"/>
        <w:rPr>
          <w:rFonts w:asciiTheme="minorEastAsia" w:hAnsiTheme="minorEastAsia" w:eastAsiaTheme="minorEastAsia" w:cstheme="minorEastAsia"/>
          <w:lang w:eastAsia="zh-CN"/>
        </w:rPr>
      </w:pPr>
    </w:p>
    <w:p>
      <w:pPr>
        <w:snapToGrid w:val="0"/>
        <w:ind w:firstLine="0" w:firstLineChars="0"/>
        <w:jc w:val="center"/>
        <w:rPr>
          <w:rFonts w:asciiTheme="minorEastAsia" w:hAnsiTheme="minorEastAsia" w:cstheme="minorEastAsia"/>
          <w:kern w:val="10"/>
          <w:sz w:val="32"/>
          <w:szCs w:val="32"/>
        </w:rPr>
      </w:pPr>
      <w:r>
        <w:rPr>
          <w:rFonts w:hint="eastAsia" w:asciiTheme="minorEastAsia" w:hAnsiTheme="minorEastAsia" w:cstheme="minorEastAsia"/>
          <w:kern w:val="10"/>
          <w:sz w:val="32"/>
          <w:szCs w:val="32"/>
        </w:rPr>
        <w:t>2020年</w:t>
      </w:r>
      <w:bookmarkStart w:id="157" w:name="_GoBack"/>
      <w:bookmarkEnd w:id="157"/>
      <w:r>
        <w:rPr>
          <w:rFonts w:hint="eastAsia" w:asciiTheme="minorEastAsia" w:hAnsiTheme="minorEastAsia" w:cstheme="minorEastAsia"/>
          <w:kern w:val="10"/>
          <w:sz w:val="32"/>
          <w:szCs w:val="32"/>
          <w:lang w:val="en-US" w:eastAsia="zh-CN"/>
        </w:rPr>
        <w:t>7</w:t>
      </w:r>
      <w:r>
        <w:rPr>
          <w:rFonts w:hint="eastAsia" w:asciiTheme="minorEastAsia" w:hAnsiTheme="minorEastAsia" w:cstheme="minorEastAsia"/>
          <w:kern w:val="10"/>
          <w:sz w:val="32"/>
          <w:szCs w:val="32"/>
        </w:rPr>
        <w:t>月</w:t>
      </w:r>
      <w:r>
        <w:rPr>
          <w:rFonts w:hint="eastAsia" w:asciiTheme="minorEastAsia" w:hAnsiTheme="minorEastAsia" w:cstheme="minorEastAsia"/>
          <w:kern w:val="10"/>
          <w:sz w:val="32"/>
          <w:szCs w:val="32"/>
          <w:lang w:val="en-US" w:eastAsia="zh-CN"/>
        </w:rPr>
        <w:t>30</w:t>
      </w:r>
      <w:r>
        <w:rPr>
          <w:rFonts w:hint="eastAsia" w:asciiTheme="minorEastAsia" w:hAnsiTheme="minorEastAsia" w:cstheme="minorEastAsia"/>
          <w:kern w:val="10"/>
          <w:sz w:val="32"/>
          <w:szCs w:val="32"/>
        </w:rPr>
        <w:t>日</w:t>
      </w:r>
    </w:p>
    <w:p>
      <w:pPr>
        <w:snapToGrid w:val="0"/>
        <w:spacing w:line="360" w:lineRule="auto"/>
        <w:ind w:firstLine="0" w:firstLineChars="0"/>
        <w:jc w:val="center"/>
        <w:rPr>
          <w:rFonts w:asciiTheme="minorEastAsia" w:hAnsiTheme="minorEastAsia" w:cstheme="minorEastAsia"/>
          <w:sz w:val="44"/>
          <w:szCs w:val="44"/>
        </w:rPr>
      </w:pPr>
    </w:p>
    <w:p>
      <w:pPr>
        <w:pStyle w:val="2"/>
      </w:pPr>
    </w:p>
    <w:p>
      <w:pPr>
        <w:snapToGrid w:val="0"/>
        <w:spacing w:line="360" w:lineRule="auto"/>
        <w:ind w:firstLine="0" w:firstLineChars="0"/>
        <w:jc w:val="center"/>
        <w:rPr>
          <w:rFonts w:asciiTheme="minorEastAsia" w:hAnsiTheme="minorEastAsia" w:cstheme="minorEastAsia"/>
          <w:sz w:val="44"/>
          <w:szCs w:val="44"/>
        </w:rPr>
      </w:pPr>
      <w:r>
        <w:rPr>
          <w:rFonts w:hint="eastAsia" w:asciiTheme="minorEastAsia" w:hAnsiTheme="minorEastAsia" w:cstheme="minorEastAsia"/>
          <w:sz w:val="44"/>
          <w:szCs w:val="44"/>
        </w:rPr>
        <w:t>目录</w:t>
      </w:r>
    </w:p>
    <w:p>
      <w:pPr>
        <w:snapToGrid w:val="0"/>
        <w:spacing w:line="360" w:lineRule="auto"/>
        <w:rPr>
          <w:rFonts w:asciiTheme="minorEastAsia" w:hAnsiTheme="minorEastAsia" w:cstheme="minorEastAsia"/>
        </w:rPr>
      </w:pPr>
    </w:p>
    <w:p>
      <w:pPr>
        <w:pStyle w:val="24"/>
        <w:tabs>
          <w:tab w:val="right" w:leader="dot" w:pos="829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TOC \o "1-5" \h \z \u </w:instrText>
      </w:r>
      <w:r>
        <w:rPr>
          <w:rFonts w:hint="eastAsia" w:asciiTheme="minorEastAsia" w:hAnsiTheme="minorEastAsia" w:cstheme="minorEastAsia"/>
        </w:rPr>
        <w:fldChar w:fldCharType="separate"/>
      </w:r>
      <w:r>
        <w:fldChar w:fldCharType="begin"/>
      </w:r>
      <w:r>
        <w:instrText xml:space="preserve"> HYPERLINK \l "_Toc43907101" </w:instrText>
      </w:r>
      <w:r>
        <w:fldChar w:fldCharType="separate"/>
      </w:r>
      <w:r>
        <w:rPr>
          <w:rStyle w:val="29"/>
          <w:rFonts w:hint="eastAsia" w:asciiTheme="minorEastAsia" w:hAnsiTheme="minorEastAsia" w:cstheme="minorEastAsia"/>
        </w:rPr>
        <w:t>第一章</w:t>
      </w:r>
      <w:r>
        <w:rPr>
          <w:rStyle w:val="29"/>
          <w:rFonts w:asciiTheme="minorEastAsia" w:hAnsiTheme="minorEastAsia" w:cstheme="minorEastAsia"/>
        </w:rPr>
        <w:t xml:space="preserve"> </w:t>
      </w:r>
      <w:r>
        <w:rPr>
          <w:rStyle w:val="29"/>
          <w:rFonts w:hint="eastAsia" w:asciiTheme="minorEastAsia" w:hAnsiTheme="minorEastAsia" w:cstheme="minorEastAsia"/>
        </w:rPr>
        <w:t>招标公告</w:t>
      </w:r>
      <w:r>
        <w:tab/>
      </w:r>
      <w:r>
        <w:fldChar w:fldCharType="begin"/>
      </w:r>
      <w:r>
        <w:instrText xml:space="preserve"> PAGEREF _Toc43907101 \h </w:instrText>
      </w:r>
      <w:r>
        <w:fldChar w:fldCharType="separate"/>
      </w:r>
      <w:r>
        <w:t>5</w:t>
      </w:r>
      <w:r>
        <w:fldChar w:fldCharType="end"/>
      </w:r>
      <w:r>
        <w:fldChar w:fldCharType="end"/>
      </w:r>
    </w:p>
    <w:p>
      <w:pPr>
        <w:pStyle w:val="22"/>
        <w:tabs>
          <w:tab w:val="right" w:leader="dot" w:pos="8296"/>
        </w:tabs>
      </w:pPr>
      <w:r>
        <w:fldChar w:fldCharType="begin"/>
      </w:r>
      <w:r>
        <w:instrText xml:space="preserve"> HYPERLINK \l "_Toc43907102" </w:instrText>
      </w:r>
      <w:r>
        <w:fldChar w:fldCharType="separate"/>
      </w:r>
      <w:r>
        <w:rPr>
          <w:rStyle w:val="29"/>
          <w:rFonts w:hint="eastAsia" w:cstheme="minorEastAsia"/>
        </w:rPr>
        <w:t>一、招标条件</w:t>
      </w:r>
      <w:r>
        <w:tab/>
      </w:r>
      <w:r>
        <w:fldChar w:fldCharType="begin"/>
      </w:r>
      <w:r>
        <w:instrText xml:space="preserve"> PAGEREF _Toc43907102 \h </w:instrText>
      </w:r>
      <w:r>
        <w:fldChar w:fldCharType="separate"/>
      </w:r>
      <w:r>
        <w:t>5</w:t>
      </w:r>
      <w:r>
        <w:fldChar w:fldCharType="end"/>
      </w:r>
      <w:r>
        <w:fldChar w:fldCharType="end"/>
      </w:r>
    </w:p>
    <w:p>
      <w:pPr>
        <w:pStyle w:val="22"/>
        <w:tabs>
          <w:tab w:val="right" w:leader="dot" w:pos="8296"/>
        </w:tabs>
      </w:pPr>
      <w:r>
        <w:fldChar w:fldCharType="begin"/>
      </w:r>
      <w:r>
        <w:instrText xml:space="preserve"> HYPERLINK \l "_Toc43907103" </w:instrText>
      </w:r>
      <w:r>
        <w:fldChar w:fldCharType="separate"/>
      </w:r>
      <w:r>
        <w:rPr>
          <w:rStyle w:val="29"/>
          <w:rFonts w:hint="eastAsia" w:cstheme="minorEastAsia"/>
        </w:rPr>
        <w:t>二、项目概况和招标范围</w:t>
      </w:r>
      <w:r>
        <w:tab/>
      </w:r>
      <w:r>
        <w:fldChar w:fldCharType="begin"/>
      </w:r>
      <w:r>
        <w:instrText xml:space="preserve"> PAGEREF _Toc43907103 \h </w:instrText>
      </w:r>
      <w:r>
        <w:fldChar w:fldCharType="separate"/>
      </w:r>
      <w:r>
        <w:t>5</w:t>
      </w:r>
      <w:r>
        <w:fldChar w:fldCharType="end"/>
      </w:r>
      <w:r>
        <w:fldChar w:fldCharType="end"/>
      </w:r>
    </w:p>
    <w:p>
      <w:pPr>
        <w:pStyle w:val="22"/>
        <w:tabs>
          <w:tab w:val="right" w:leader="dot" w:pos="8296"/>
        </w:tabs>
      </w:pPr>
      <w:r>
        <w:fldChar w:fldCharType="begin"/>
      </w:r>
      <w:r>
        <w:instrText xml:space="preserve"> HYPERLINK \l "_Toc43907104" </w:instrText>
      </w:r>
      <w:r>
        <w:fldChar w:fldCharType="separate"/>
      </w:r>
      <w:r>
        <w:rPr>
          <w:rStyle w:val="29"/>
          <w:rFonts w:hint="eastAsia" w:cstheme="minorEastAsia"/>
        </w:rPr>
        <w:t>三、 投标人资格要求</w:t>
      </w:r>
      <w:r>
        <w:tab/>
      </w:r>
      <w:r>
        <w:fldChar w:fldCharType="begin"/>
      </w:r>
      <w:r>
        <w:instrText xml:space="preserve"> PAGEREF _Toc43907104 \h </w:instrText>
      </w:r>
      <w:r>
        <w:fldChar w:fldCharType="separate"/>
      </w:r>
      <w:r>
        <w:t>5</w:t>
      </w:r>
      <w:r>
        <w:fldChar w:fldCharType="end"/>
      </w:r>
      <w:r>
        <w:fldChar w:fldCharType="end"/>
      </w:r>
    </w:p>
    <w:p>
      <w:pPr>
        <w:pStyle w:val="22"/>
        <w:tabs>
          <w:tab w:val="right" w:leader="dot" w:pos="8296"/>
        </w:tabs>
      </w:pPr>
      <w:r>
        <w:fldChar w:fldCharType="begin"/>
      </w:r>
      <w:r>
        <w:instrText xml:space="preserve"> HYPERLINK \l "_Toc43907105" </w:instrText>
      </w:r>
      <w:r>
        <w:fldChar w:fldCharType="separate"/>
      </w:r>
      <w:r>
        <w:rPr>
          <w:rStyle w:val="29"/>
          <w:rFonts w:hint="eastAsia" w:cstheme="minorEastAsia"/>
        </w:rPr>
        <w:t>四、招标文件的获取</w:t>
      </w:r>
      <w:r>
        <w:tab/>
      </w:r>
      <w:r>
        <w:fldChar w:fldCharType="begin"/>
      </w:r>
      <w:r>
        <w:instrText xml:space="preserve"> PAGEREF _Toc43907105 \h </w:instrText>
      </w:r>
      <w:r>
        <w:fldChar w:fldCharType="separate"/>
      </w:r>
      <w:r>
        <w:t>6</w:t>
      </w:r>
      <w:r>
        <w:fldChar w:fldCharType="end"/>
      </w:r>
      <w:r>
        <w:fldChar w:fldCharType="end"/>
      </w:r>
    </w:p>
    <w:p>
      <w:pPr>
        <w:pStyle w:val="22"/>
        <w:tabs>
          <w:tab w:val="right" w:leader="dot" w:pos="8296"/>
        </w:tabs>
      </w:pPr>
      <w:r>
        <w:fldChar w:fldCharType="begin"/>
      </w:r>
      <w:r>
        <w:instrText xml:space="preserve"> HYPERLINK \l "_Toc43907106" </w:instrText>
      </w:r>
      <w:r>
        <w:fldChar w:fldCharType="separate"/>
      </w:r>
      <w:r>
        <w:rPr>
          <w:rStyle w:val="29"/>
          <w:rFonts w:hint="eastAsia" w:cstheme="minorEastAsia"/>
        </w:rPr>
        <w:t>五、投标文件的递交</w:t>
      </w:r>
      <w:r>
        <w:tab/>
      </w:r>
      <w:r>
        <w:fldChar w:fldCharType="begin"/>
      </w:r>
      <w:r>
        <w:instrText xml:space="preserve"> PAGEREF _Toc43907106 \h </w:instrText>
      </w:r>
      <w:r>
        <w:fldChar w:fldCharType="separate"/>
      </w:r>
      <w:r>
        <w:t>6</w:t>
      </w:r>
      <w:r>
        <w:fldChar w:fldCharType="end"/>
      </w:r>
      <w:r>
        <w:fldChar w:fldCharType="end"/>
      </w:r>
    </w:p>
    <w:p>
      <w:pPr>
        <w:pStyle w:val="22"/>
        <w:tabs>
          <w:tab w:val="right" w:leader="dot" w:pos="8296"/>
        </w:tabs>
      </w:pPr>
      <w:r>
        <w:fldChar w:fldCharType="begin"/>
      </w:r>
      <w:r>
        <w:instrText xml:space="preserve"> HYPERLINK \l "_Toc43907107" </w:instrText>
      </w:r>
      <w:r>
        <w:fldChar w:fldCharType="separate"/>
      </w:r>
      <w:r>
        <w:rPr>
          <w:rStyle w:val="29"/>
          <w:rFonts w:hint="eastAsia" w:cstheme="minorEastAsia"/>
        </w:rPr>
        <w:t>六、开标时间及地点</w:t>
      </w:r>
      <w:r>
        <w:tab/>
      </w:r>
      <w:r>
        <w:fldChar w:fldCharType="begin"/>
      </w:r>
      <w:r>
        <w:instrText xml:space="preserve"> PAGEREF _Toc43907107 \h </w:instrText>
      </w:r>
      <w:r>
        <w:fldChar w:fldCharType="separate"/>
      </w:r>
      <w:r>
        <w:t>6</w:t>
      </w:r>
      <w:r>
        <w:fldChar w:fldCharType="end"/>
      </w:r>
      <w:r>
        <w:fldChar w:fldCharType="end"/>
      </w:r>
    </w:p>
    <w:p>
      <w:pPr>
        <w:pStyle w:val="22"/>
        <w:tabs>
          <w:tab w:val="right" w:leader="dot" w:pos="8296"/>
        </w:tabs>
      </w:pPr>
      <w:r>
        <w:fldChar w:fldCharType="begin"/>
      </w:r>
      <w:r>
        <w:instrText xml:space="preserve"> HYPERLINK \l "_Toc43907108" </w:instrText>
      </w:r>
      <w:r>
        <w:fldChar w:fldCharType="separate"/>
      </w:r>
      <w:r>
        <w:rPr>
          <w:rStyle w:val="29"/>
          <w:rFonts w:hint="eastAsia" w:cstheme="minorEastAsia"/>
        </w:rPr>
        <w:t>七、其他</w:t>
      </w:r>
      <w:r>
        <w:tab/>
      </w:r>
      <w:r>
        <w:fldChar w:fldCharType="begin"/>
      </w:r>
      <w:r>
        <w:instrText xml:space="preserve"> PAGEREF _Toc43907108 \h </w:instrText>
      </w:r>
      <w:r>
        <w:fldChar w:fldCharType="separate"/>
      </w:r>
      <w:r>
        <w:t>6</w:t>
      </w:r>
      <w:r>
        <w:fldChar w:fldCharType="end"/>
      </w:r>
      <w:r>
        <w:fldChar w:fldCharType="end"/>
      </w:r>
    </w:p>
    <w:p>
      <w:pPr>
        <w:pStyle w:val="22"/>
        <w:tabs>
          <w:tab w:val="right" w:leader="dot" w:pos="8296"/>
        </w:tabs>
      </w:pPr>
      <w:r>
        <w:fldChar w:fldCharType="begin"/>
      </w:r>
      <w:r>
        <w:instrText xml:space="preserve"> HYPERLINK \l "_Toc43907109" </w:instrText>
      </w:r>
      <w:r>
        <w:fldChar w:fldCharType="separate"/>
      </w:r>
      <w:r>
        <w:rPr>
          <w:rStyle w:val="29"/>
          <w:rFonts w:hint="eastAsia" w:cstheme="minorEastAsia"/>
        </w:rPr>
        <w:t>八、监督部门</w:t>
      </w:r>
      <w:r>
        <w:tab/>
      </w:r>
      <w:r>
        <w:fldChar w:fldCharType="begin"/>
      </w:r>
      <w:r>
        <w:instrText xml:space="preserve"> PAGEREF _Toc43907109 \h </w:instrText>
      </w:r>
      <w:r>
        <w:fldChar w:fldCharType="separate"/>
      </w:r>
      <w:r>
        <w:t>6</w:t>
      </w:r>
      <w:r>
        <w:fldChar w:fldCharType="end"/>
      </w:r>
      <w:r>
        <w:fldChar w:fldCharType="end"/>
      </w:r>
    </w:p>
    <w:p>
      <w:pPr>
        <w:pStyle w:val="22"/>
        <w:tabs>
          <w:tab w:val="right" w:leader="dot" w:pos="8296"/>
        </w:tabs>
      </w:pPr>
      <w:r>
        <w:fldChar w:fldCharType="begin"/>
      </w:r>
      <w:r>
        <w:instrText xml:space="preserve"> HYPERLINK \l "_Toc43907110" </w:instrText>
      </w:r>
      <w:r>
        <w:fldChar w:fldCharType="separate"/>
      </w:r>
      <w:r>
        <w:rPr>
          <w:rStyle w:val="29"/>
          <w:rFonts w:hint="eastAsia" w:cstheme="minorEastAsia"/>
        </w:rPr>
        <w:t>九、联系方式</w:t>
      </w:r>
      <w:r>
        <w:tab/>
      </w:r>
      <w:r>
        <w:rPr>
          <w:rFonts w:hint="eastAsia"/>
        </w:rPr>
        <w:t>6</w:t>
      </w:r>
      <w:r>
        <w:rPr>
          <w:rFonts w:hint="eastAsia"/>
        </w:rPr>
        <w:fldChar w:fldCharType="end"/>
      </w:r>
    </w:p>
    <w:p>
      <w:pPr>
        <w:pStyle w:val="24"/>
        <w:tabs>
          <w:tab w:val="right" w:leader="dot" w:pos="8296"/>
        </w:tabs>
      </w:pPr>
      <w:r>
        <w:fldChar w:fldCharType="begin"/>
      </w:r>
      <w:r>
        <w:instrText xml:space="preserve"> HYPERLINK \l "_Toc43907111" </w:instrText>
      </w:r>
      <w:r>
        <w:fldChar w:fldCharType="separate"/>
      </w:r>
      <w:r>
        <w:rPr>
          <w:rStyle w:val="29"/>
          <w:rFonts w:hint="eastAsia" w:asciiTheme="minorEastAsia" w:hAnsiTheme="minorEastAsia" w:cstheme="minorEastAsia"/>
        </w:rPr>
        <w:t>第二章</w:t>
      </w:r>
      <w:r>
        <w:rPr>
          <w:rStyle w:val="29"/>
          <w:rFonts w:asciiTheme="minorEastAsia" w:hAnsiTheme="minorEastAsia" w:cstheme="minorEastAsia"/>
        </w:rPr>
        <w:t xml:space="preserve"> </w:t>
      </w:r>
      <w:r>
        <w:rPr>
          <w:rStyle w:val="29"/>
          <w:rFonts w:hint="eastAsia" w:asciiTheme="minorEastAsia" w:hAnsiTheme="minorEastAsia" w:cstheme="minorEastAsia"/>
        </w:rPr>
        <w:t>投标人须知</w:t>
      </w:r>
      <w:r>
        <w:tab/>
      </w:r>
      <w:r>
        <w:fldChar w:fldCharType="begin"/>
      </w:r>
      <w:r>
        <w:instrText xml:space="preserve"> PAGEREF _Toc43907111 \h </w:instrText>
      </w:r>
      <w:r>
        <w:fldChar w:fldCharType="separate"/>
      </w:r>
      <w:r>
        <w:t>8</w:t>
      </w:r>
      <w:r>
        <w:fldChar w:fldCharType="end"/>
      </w:r>
      <w:r>
        <w:fldChar w:fldCharType="end"/>
      </w:r>
    </w:p>
    <w:p>
      <w:pPr>
        <w:pStyle w:val="14"/>
        <w:tabs>
          <w:tab w:val="right" w:leader="dot" w:pos="8296"/>
        </w:tabs>
      </w:pPr>
      <w:r>
        <w:fldChar w:fldCharType="begin"/>
      </w:r>
      <w:r>
        <w:instrText xml:space="preserve"> HYPERLINK \l "_Toc43907112" </w:instrText>
      </w:r>
      <w:r>
        <w:fldChar w:fldCharType="separate"/>
      </w:r>
      <w:r>
        <w:rPr>
          <w:rStyle w:val="29"/>
          <w:rFonts w:hint="eastAsia" w:asciiTheme="minorEastAsia" w:hAnsiTheme="minorEastAsia" w:cstheme="minorEastAsia"/>
        </w:rPr>
        <w:t>投标人须知前附表</w:t>
      </w:r>
      <w:r>
        <w:tab/>
      </w:r>
      <w:r>
        <w:fldChar w:fldCharType="begin"/>
      </w:r>
      <w:r>
        <w:instrText xml:space="preserve"> PAGEREF _Toc43907112 \h </w:instrText>
      </w:r>
      <w:r>
        <w:fldChar w:fldCharType="separate"/>
      </w:r>
      <w:r>
        <w:t>8</w:t>
      </w:r>
      <w:r>
        <w:fldChar w:fldCharType="end"/>
      </w:r>
      <w:r>
        <w:fldChar w:fldCharType="end"/>
      </w:r>
    </w:p>
    <w:p>
      <w:pPr>
        <w:pStyle w:val="22"/>
        <w:tabs>
          <w:tab w:val="right" w:leader="dot" w:pos="8296"/>
        </w:tabs>
      </w:pPr>
      <w:r>
        <w:fldChar w:fldCharType="begin"/>
      </w:r>
      <w:r>
        <w:instrText xml:space="preserve"> HYPERLINK \l "_Toc43907113" </w:instrText>
      </w:r>
      <w:r>
        <w:fldChar w:fldCharType="separate"/>
      </w:r>
      <w:r>
        <w:rPr>
          <w:rStyle w:val="29"/>
          <w:rFonts w:cstheme="minorEastAsia"/>
        </w:rPr>
        <w:t>1.</w:t>
      </w:r>
      <w:r>
        <w:rPr>
          <w:rStyle w:val="29"/>
          <w:rFonts w:hint="eastAsia" w:cstheme="minorEastAsia"/>
        </w:rPr>
        <w:t>总则</w:t>
      </w:r>
      <w:r>
        <w:tab/>
      </w:r>
      <w:r>
        <w:fldChar w:fldCharType="begin"/>
      </w:r>
      <w:r>
        <w:instrText xml:space="preserve"> PAGEREF _Toc43907113 \h </w:instrText>
      </w:r>
      <w:r>
        <w:fldChar w:fldCharType="separate"/>
      </w:r>
      <w:r>
        <w:t>11</w:t>
      </w:r>
      <w:r>
        <w:fldChar w:fldCharType="end"/>
      </w:r>
      <w:r>
        <w:fldChar w:fldCharType="end"/>
      </w:r>
    </w:p>
    <w:p>
      <w:pPr>
        <w:pStyle w:val="13"/>
        <w:tabs>
          <w:tab w:val="right" w:leader="dot" w:pos="8296"/>
        </w:tabs>
      </w:pPr>
      <w:r>
        <w:fldChar w:fldCharType="begin"/>
      </w:r>
      <w:r>
        <w:instrText xml:space="preserve"> HYPERLINK \l "_Toc43907114" </w:instrText>
      </w:r>
      <w:r>
        <w:fldChar w:fldCharType="separate"/>
      </w:r>
      <w:r>
        <w:rPr>
          <w:rStyle w:val="29"/>
          <w:rFonts w:cstheme="minorEastAsia"/>
        </w:rPr>
        <w:t>1.1</w:t>
      </w:r>
      <w:r>
        <w:rPr>
          <w:rStyle w:val="29"/>
          <w:rFonts w:hint="eastAsia" w:cstheme="minorEastAsia"/>
        </w:rPr>
        <w:t>招标项目概况</w:t>
      </w:r>
      <w:r>
        <w:tab/>
      </w:r>
      <w:r>
        <w:fldChar w:fldCharType="begin"/>
      </w:r>
      <w:r>
        <w:instrText xml:space="preserve"> PAGEREF _Toc43907114 \h </w:instrText>
      </w:r>
      <w:r>
        <w:fldChar w:fldCharType="separate"/>
      </w:r>
      <w:r>
        <w:t>11</w:t>
      </w:r>
      <w:r>
        <w:fldChar w:fldCharType="end"/>
      </w:r>
      <w:r>
        <w:fldChar w:fldCharType="end"/>
      </w:r>
    </w:p>
    <w:p>
      <w:pPr>
        <w:pStyle w:val="13"/>
        <w:tabs>
          <w:tab w:val="right" w:leader="dot" w:pos="8296"/>
        </w:tabs>
      </w:pPr>
      <w:r>
        <w:fldChar w:fldCharType="begin"/>
      </w:r>
      <w:r>
        <w:instrText xml:space="preserve"> HYPERLINK \l "_Toc43907115" </w:instrText>
      </w:r>
      <w:r>
        <w:fldChar w:fldCharType="separate"/>
      </w:r>
      <w:r>
        <w:rPr>
          <w:rStyle w:val="29"/>
          <w:rFonts w:cstheme="minorEastAsia"/>
        </w:rPr>
        <w:t>1.2</w:t>
      </w:r>
      <w:r>
        <w:rPr>
          <w:rStyle w:val="29"/>
          <w:rFonts w:hint="eastAsia" w:cstheme="minorEastAsia"/>
        </w:rPr>
        <w:t>招标项目的资金来源和落实情况</w:t>
      </w:r>
      <w:r>
        <w:tab/>
      </w:r>
      <w:r>
        <w:fldChar w:fldCharType="begin"/>
      </w:r>
      <w:r>
        <w:instrText xml:space="preserve"> PAGEREF _Toc43907115 \h </w:instrText>
      </w:r>
      <w:r>
        <w:fldChar w:fldCharType="separate"/>
      </w:r>
      <w:r>
        <w:t>11</w:t>
      </w:r>
      <w:r>
        <w:fldChar w:fldCharType="end"/>
      </w:r>
      <w:r>
        <w:fldChar w:fldCharType="end"/>
      </w:r>
    </w:p>
    <w:p>
      <w:pPr>
        <w:pStyle w:val="13"/>
        <w:tabs>
          <w:tab w:val="right" w:leader="dot" w:pos="8296"/>
        </w:tabs>
      </w:pPr>
      <w:r>
        <w:fldChar w:fldCharType="begin"/>
      </w:r>
      <w:r>
        <w:instrText xml:space="preserve"> HYPERLINK \l "_Toc43907116" </w:instrText>
      </w:r>
      <w:r>
        <w:fldChar w:fldCharType="separate"/>
      </w:r>
      <w:r>
        <w:rPr>
          <w:rStyle w:val="29"/>
          <w:rFonts w:cstheme="minorEastAsia"/>
        </w:rPr>
        <w:t>1.3</w:t>
      </w:r>
      <w:r>
        <w:rPr>
          <w:rStyle w:val="29"/>
          <w:rFonts w:hint="eastAsia" w:cstheme="minorEastAsia"/>
        </w:rPr>
        <w:t>招标范围、交货期、交货地点和技术性能指标</w:t>
      </w:r>
      <w:r>
        <w:tab/>
      </w:r>
      <w:r>
        <w:fldChar w:fldCharType="begin"/>
      </w:r>
      <w:r>
        <w:instrText xml:space="preserve"> PAGEREF _Toc43907116 \h </w:instrText>
      </w:r>
      <w:r>
        <w:fldChar w:fldCharType="separate"/>
      </w:r>
      <w:r>
        <w:t>11</w:t>
      </w:r>
      <w:r>
        <w:fldChar w:fldCharType="end"/>
      </w:r>
      <w:r>
        <w:fldChar w:fldCharType="end"/>
      </w:r>
    </w:p>
    <w:p>
      <w:pPr>
        <w:pStyle w:val="13"/>
        <w:tabs>
          <w:tab w:val="right" w:leader="dot" w:pos="8296"/>
        </w:tabs>
      </w:pPr>
      <w:r>
        <w:fldChar w:fldCharType="begin"/>
      </w:r>
      <w:r>
        <w:instrText xml:space="preserve"> HYPERLINK \l "_Toc43907117" </w:instrText>
      </w:r>
      <w:r>
        <w:fldChar w:fldCharType="separate"/>
      </w:r>
      <w:r>
        <w:rPr>
          <w:rStyle w:val="29"/>
          <w:rFonts w:cstheme="minorEastAsia"/>
        </w:rPr>
        <w:t>1.4</w:t>
      </w:r>
      <w:r>
        <w:rPr>
          <w:rStyle w:val="29"/>
          <w:rFonts w:hint="eastAsia" w:cstheme="minorEastAsia"/>
        </w:rPr>
        <w:t>投标人资格要求</w:t>
      </w:r>
      <w:r>
        <w:tab/>
      </w:r>
      <w:r>
        <w:fldChar w:fldCharType="begin"/>
      </w:r>
      <w:r>
        <w:instrText xml:space="preserve"> PAGEREF _Toc43907117 \h </w:instrText>
      </w:r>
      <w:r>
        <w:fldChar w:fldCharType="separate"/>
      </w:r>
      <w:r>
        <w:t>11</w:t>
      </w:r>
      <w:r>
        <w:fldChar w:fldCharType="end"/>
      </w:r>
      <w:r>
        <w:fldChar w:fldCharType="end"/>
      </w:r>
    </w:p>
    <w:p>
      <w:pPr>
        <w:pStyle w:val="13"/>
        <w:tabs>
          <w:tab w:val="right" w:leader="dot" w:pos="8296"/>
        </w:tabs>
      </w:pPr>
      <w:r>
        <w:fldChar w:fldCharType="begin"/>
      </w:r>
      <w:r>
        <w:instrText xml:space="preserve"> HYPERLINK \l "_Toc43907118" </w:instrText>
      </w:r>
      <w:r>
        <w:fldChar w:fldCharType="separate"/>
      </w:r>
      <w:r>
        <w:rPr>
          <w:rStyle w:val="29"/>
          <w:rFonts w:cstheme="minorEastAsia"/>
        </w:rPr>
        <w:t>1.5</w:t>
      </w:r>
      <w:r>
        <w:rPr>
          <w:rStyle w:val="29"/>
          <w:rFonts w:hint="eastAsia" w:cstheme="minorEastAsia"/>
        </w:rPr>
        <w:t>费用承担</w:t>
      </w:r>
      <w:r>
        <w:tab/>
      </w:r>
      <w:r>
        <w:fldChar w:fldCharType="begin"/>
      </w:r>
      <w:r>
        <w:instrText xml:space="preserve"> PAGEREF _Toc43907118 \h </w:instrText>
      </w:r>
      <w:r>
        <w:fldChar w:fldCharType="separate"/>
      </w:r>
      <w:r>
        <w:t>12</w:t>
      </w:r>
      <w:r>
        <w:fldChar w:fldCharType="end"/>
      </w:r>
      <w:r>
        <w:fldChar w:fldCharType="end"/>
      </w:r>
    </w:p>
    <w:p>
      <w:pPr>
        <w:pStyle w:val="13"/>
        <w:tabs>
          <w:tab w:val="right" w:leader="dot" w:pos="8296"/>
        </w:tabs>
      </w:pPr>
      <w:r>
        <w:fldChar w:fldCharType="begin"/>
      </w:r>
      <w:r>
        <w:instrText xml:space="preserve"> HYPERLINK \l "_Toc43907119" </w:instrText>
      </w:r>
      <w:r>
        <w:fldChar w:fldCharType="separate"/>
      </w:r>
      <w:r>
        <w:rPr>
          <w:rStyle w:val="29"/>
          <w:rFonts w:cstheme="minorEastAsia"/>
        </w:rPr>
        <w:t>1.6</w:t>
      </w:r>
      <w:r>
        <w:rPr>
          <w:rStyle w:val="29"/>
          <w:rFonts w:hint="eastAsia" w:cstheme="minorEastAsia"/>
        </w:rPr>
        <w:t>保密</w:t>
      </w:r>
      <w:r>
        <w:tab/>
      </w:r>
      <w:r>
        <w:fldChar w:fldCharType="begin"/>
      </w:r>
      <w:r>
        <w:instrText xml:space="preserve"> PAGEREF _Toc43907119 \h </w:instrText>
      </w:r>
      <w:r>
        <w:fldChar w:fldCharType="separate"/>
      </w:r>
      <w:r>
        <w:t>13</w:t>
      </w:r>
      <w:r>
        <w:fldChar w:fldCharType="end"/>
      </w:r>
      <w:r>
        <w:fldChar w:fldCharType="end"/>
      </w:r>
    </w:p>
    <w:p>
      <w:pPr>
        <w:pStyle w:val="13"/>
        <w:tabs>
          <w:tab w:val="right" w:leader="dot" w:pos="8296"/>
        </w:tabs>
      </w:pPr>
      <w:r>
        <w:fldChar w:fldCharType="begin"/>
      </w:r>
      <w:r>
        <w:instrText xml:space="preserve"> HYPERLINK \l "_Toc43907120" </w:instrText>
      </w:r>
      <w:r>
        <w:fldChar w:fldCharType="separate"/>
      </w:r>
      <w:r>
        <w:rPr>
          <w:rStyle w:val="29"/>
          <w:rFonts w:cstheme="minorEastAsia"/>
        </w:rPr>
        <w:t>1.7</w:t>
      </w:r>
      <w:r>
        <w:rPr>
          <w:rStyle w:val="29"/>
          <w:rFonts w:hint="eastAsia" w:cstheme="minorEastAsia"/>
        </w:rPr>
        <w:t>语言文字</w:t>
      </w:r>
      <w:r>
        <w:tab/>
      </w:r>
      <w:r>
        <w:fldChar w:fldCharType="begin"/>
      </w:r>
      <w:r>
        <w:instrText xml:space="preserve"> PAGEREF _Toc43907120 \h </w:instrText>
      </w:r>
      <w:r>
        <w:fldChar w:fldCharType="separate"/>
      </w:r>
      <w:r>
        <w:t>13</w:t>
      </w:r>
      <w:r>
        <w:fldChar w:fldCharType="end"/>
      </w:r>
      <w:r>
        <w:fldChar w:fldCharType="end"/>
      </w:r>
    </w:p>
    <w:p>
      <w:pPr>
        <w:pStyle w:val="13"/>
        <w:tabs>
          <w:tab w:val="right" w:leader="dot" w:pos="8296"/>
        </w:tabs>
      </w:pPr>
      <w:r>
        <w:fldChar w:fldCharType="begin"/>
      </w:r>
      <w:r>
        <w:instrText xml:space="preserve"> HYPERLINK \l "_Toc43907121" </w:instrText>
      </w:r>
      <w:r>
        <w:fldChar w:fldCharType="separate"/>
      </w:r>
      <w:r>
        <w:rPr>
          <w:rStyle w:val="29"/>
          <w:rFonts w:cstheme="minorEastAsia"/>
        </w:rPr>
        <w:t>1.8</w:t>
      </w:r>
      <w:r>
        <w:rPr>
          <w:rStyle w:val="29"/>
          <w:rFonts w:hint="eastAsia" w:cstheme="minorEastAsia"/>
        </w:rPr>
        <w:t>计量单位</w:t>
      </w:r>
      <w:r>
        <w:tab/>
      </w:r>
      <w:r>
        <w:fldChar w:fldCharType="begin"/>
      </w:r>
      <w:r>
        <w:instrText xml:space="preserve"> PAGEREF _Toc43907121 \h </w:instrText>
      </w:r>
      <w:r>
        <w:fldChar w:fldCharType="separate"/>
      </w:r>
      <w:r>
        <w:t>13</w:t>
      </w:r>
      <w:r>
        <w:fldChar w:fldCharType="end"/>
      </w:r>
      <w:r>
        <w:fldChar w:fldCharType="end"/>
      </w:r>
    </w:p>
    <w:p>
      <w:pPr>
        <w:pStyle w:val="13"/>
        <w:tabs>
          <w:tab w:val="right" w:leader="dot" w:pos="8296"/>
        </w:tabs>
      </w:pPr>
      <w:r>
        <w:fldChar w:fldCharType="begin"/>
      </w:r>
      <w:r>
        <w:instrText xml:space="preserve"> HYPERLINK \l "_Toc43907122" </w:instrText>
      </w:r>
      <w:r>
        <w:fldChar w:fldCharType="separate"/>
      </w:r>
      <w:r>
        <w:rPr>
          <w:rStyle w:val="29"/>
          <w:rFonts w:cstheme="minorEastAsia"/>
        </w:rPr>
        <w:t>1.9</w:t>
      </w:r>
      <w:r>
        <w:rPr>
          <w:rStyle w:val="29"/>
          <w:rFonts w:hint="eastAsia" w:cstheme="minorEastAsia"/>
        </w:rPr>
        <w:t>投标预备会</w:t>
      </w:r>
      <w:r>
        <w:tab/>
      </w:r>
      <w:r>
        <w:fldChar w:fldCharType="begin"/>
      </w:r>
      <w:r>
        <w:instrText xml:space="preserve"> PAGEREF _Toc43907122 \h </w:instrText>
      </w:r>
      <w:r>
        <w:fldChar w:fldCharType="separate"/>
      </w:r>
      <w:r>
        <w:t>13</w:t>
      </w:r>
      <w:r>
        <w:fldChar w:fldCharType="end"/>
      </w:r>
      <w:r>
        <w:fldChar w:fldCharType="end"/>
      </w:r>
    </w:p>
    <w:p>
      <w:pPr>
        <w:pStyle w:val="13"/>
        <w:tabs>
          <w:tab w:val="right" w:leader="dot" w:pos="8296"/>
        </w:tabs>
      </w:pPr>
      <w:r>
        <w:fldChar w:fldCharType="begin"/>
      </w:r>
      <w:r>
        <w:instrText xml:space="preserve"> HYPERLINK \l "_Toc43907123" </w:instrText>
      </w:r>
      <w:r>
        <w:fldChar w:fldCharType="separate"/>
      </w:r>
      <w:r>
        <w:rPr>
          <w:rStyle w:val="29"/>
          <w:rFonts w:cstheme="minorEastAsia"/>
        </w:rPr>
        <w:t>1.10</w:t>
      </w:r>
      <w:r>
        <w:rPr>
          <w:rStyle w:val="29"/>
          <w:rFonts w:hint="eastAsia" w:cstheme="minorEastAsia"/>
        </w:rPr>
        <w:t>分包</w:t>
      </w:r>
      <w:r>
        <w:tab/>
      </w:r>
      <w:r>
        <w:fldChar w:fldCharType="begin"/>
      </w:r>
      <w:r>
        <w:instrText xml:space="preserve"> PAGEREF _Toc43907123 \h </w:instrText>
      </w:r>
      <w:r>
        <w:fldChar w:fldCharType="separate"/>
      </w:r>
      <w:r>
        <w:t>13</w:t>
      </w:r>
      <w:r>
        <w:fldChar w:fldCharType="end"/>
      </w:r>
      <w:r>
        <w:fldChar w:fldCharType="end"/>
      </w:r>
    </w:p>
    <w:p>
      <w:pPr>
        <w:pStyle w:val="13"/>
        <w:tabs>
          <w:tab w:val="right" w:leader="dot" w:pos="8296"/>
        </w:tabs>
      </w:pPr>
      <w:r>
        <w:fldChar w:fldCharType="begin"/>
      </w:r>
      <w:r>
        <w:instrText xml:space="preserve"> HYPERLINK \l "_Toc43907124" </w:instrText>
      </w:r>
      <w:r>
        <w:fldChar w:fldCharType="separate"/>
      </w:r>
      <w:r>
        <w:rPr>
          <w:rStyle w:val="29"/>
          <w:rFonts w:cstheme="minorEastAsia"/>
        </w:rPr>
        <w:t>1.11</w:t>
      </w:r>
      <w:r>
        <w:rPr>
          <w:rStyle w:val="29"/>
          <w:rFonts w:hint="eastAsia" w:cstheme="minorEastAsia"/>
        </w:rPr>
        <w:t>响应和偏差</w:t>
      </w:r>
      <w:r>
        <w:tab/>
      </w:r>
      <w:r>
        <w:fldChar w:fldCharType="begin"/>
      </w:r>
      <w:r>
        <w:instrText xml:space="preserve"> PAGEREF _Toc43907124 \h </w:instrText>
      </w:r>
      <w:r>
        <w:fldChar w:fldCharType="separate"/>
      </w:r>
      <w:r>
        <w:t>13</w:t>
      </w:r>
      <w:r>
        <w:fldChar w:fldCharType="end"/>
      </w:r>
      <w:r>
        <w:fldChar w:fldCharType="end"/>
      </w:r>
    </w:p>
    <w:p>
      <w:pPr>
        <w:pStyle w:val="22"/>
        <w:tabs>
          <w:tab w:val="right" w:leader="dot" w:pos="8296"/>
        </w:tabs>
      </w:pPr>
      <w:r>
        <w:fldChar w:fldCharType="begin"/>
      </w:r>
      <w:r>
        <w:instrText xml:space="preserve"> HYPERLINK \l "_Toc43907125" </w:instrText>
      </w:r>
      <w:r>
        <w:fldChar w:fldCharType="separate"/>
      </w:r>
      <w:r>
        <w:rPr>
          <w:rStyle w:val="29"/>
          <w:rFonts w:cstheme="minorEastAsia"/>
        </w:rPr>
        <w:t>2.</w:t>
      </w:r>
      <w:r>
        <w:rPr>
          <w:rStyle w:val="29"/>
          <w:rFonts w:hint="eastAsia" w:cstheme="minorEastAsia"/>
        </w:rPr>
        <w:t>招标文件</w:t>
      </w:r>
      <w:r>
        <w:tab/>
      </w:r>
      <w:r>
        <w:fldChar w:fldCharType="begin"/>
      </w:r>
      <w:r>
        <w:instrText xml:space="preserve"> PAGEREF _Toc43907125 \h </w:instrText>
      </w:r>
      <w:r>
        <w:fldChar w:fldCharType="separate"/>
      </w:r>
      <w:r>
        <w:t>13</w:t>
      </w:r>
      <w:r>
        <w:fldChar w:fldCharType="end"/>
      </w:r>
      <w:r>
        <w:fldChar w:fldCharType="end"/>
      </w:r>
    </w:p>
    <w:p>
      <w:pPr>
        <w:pStyle w:val="13"/>
        <w:tabs>
          <w:tab w:val="right" w:leader="dot" w:pos="8296"/>
        </w:tabs>
      </w:pPr>
      <w:r>
        <w:fldChar w:fldCharType="begin"/>
      </w:r>
      <w:r>
        <w:instrText xml:space="preserve"> HYPERLINK \l "_Toc43907126" </w:instrText>
      </w:r>
      <w:r>
        <w:fldChar w:fldCharType="separate"/>
      </w:r>
      <w:r>
        <w:rPr>
          <w:rStyle w:val="29"/>
          <w:rFonts w:cstheme="minorEastAsia"/>
        </w:rPr>
        <w:t>2.1</w:t>
      </w:r>
      <w:r>
        <w:rPr>
          <w:rStyle w:val="29"/>
          <w:rFonts w:hint="eastAsia" w:cstheme="minorEastAsia"/>
        </w:rPr>
        <w:t>招标文件的组成</w:t>
      </w:r>
      <w:r>
        <w:tab/>
      </w:r>
      <w:r>
        <w:fldChar w:fldCharType="begin"/>
      </w:r>
      <w:r>
        <w:instrText xml:space="preserve"> PAGEREF _Toc43907126 \h </w:instrText>
      </w:r>
      <w:r>
        <w:fldChar w:fldCharType="separate"/>
      </w:r>
      <w:r>
        <w:t>13</w:t>
      </w:r>
      <w:r>
        <w:fldChar w:fldCharType="end"/>
      </w:r>
      <w:r>
        <w:fldChar w:fldCharType="end"/>
      </w:r>
    </w:p>
    <w:p>
      <w:pPr>
        <w:pStyle w:val="13"/>
        <w:tabs>
          <w:tab w:val="right" w:leader="dot" w:pos="8296"/>
        </w:tabs>
      </w:pPr>
      <w:r>
        <w:fldChar w:fldCharType="begin"/>
      </w:r>
      <w:r>
        <w:instrText xml:space="preserve"> HYPERLINK \l "_Toc43907127" </w:instrText>
      </w:r>
      <w:r>
        <w:fldChar w:fldCharType="separate"/>
      </w:r>
      <w:r>
        <w:rPr>
          <w:rStyle w:val="29"/>
          <w:rFonts w:cstheme="minorEastAsia"/>
        </w:rPr>
        <w:t>2.2</w:t>
      </w:r>
      <w:r>
        <w:rPr>
          <w:rStyle w:val="29"/>
          <w:rFonts w:hint="eastAsia" w:cstheme="minorEastAsia"/>
        </w:rPr>
        <w:t>招标文件的澄清</w:t>
      </w:r>
      <w:r>
        <w:tab/>
      </w:r>
      <w:r>
        <w:fldChar w:fldCharType="begin"/>
      </w:r>
      <w:r>
        <w:instrText xml:space="preserve"> PAGEREF _Toc43907127 \h </w:instrText>
      </w:r>
      <w:r>
        <w:fldChar w:fldCharType="separate"/>
      </w:r>
      <w:r>
        <w:t>14</w:t>
      </w:r>
      <w:r>
        <w:fldChar w:fldCharType="end"/>
      </w:r>
      <w:r>
        <w:fldChar w:fldCharType="end"/>
      </w:r>
    </w:p>
    <w:p>
      <w:pPr>
        <w:pStyle w:val="13"/>
        <w:tabs>
          <w:tab w:val="right" w:leader="dot" w:pos="8296"/>
        </w:tabs>
      </w:pPr>
      <w:r>
        <w:fldChar w:fldCharType="begin"/>
      </w:r>
      <w:r>
        <w:instrText xml:space="preserve"> HYPERLINK \l "_Toc43907128" </w:instrText>
      </w:r>
      <w:r>
        <w:fldChar w:fldCharType="separate"/>
      </w:r>
      <w:r>
        <w:rPr>
          <w:rStyle w:val="29"/>
          <w:rFonts w:cstheme="minorEastAsia"/>
        </w:rPr>
        <w:t>2.3</w:t>
      </w:r>
      <w:r>
        <w:rPr>
          <w:rStyle w:val="29"/>
          <w:rFonts w:hint="eastAsia" w:cstheme="minorEastAsia"/>
        </w:rPr>
        <w:t>招标文件的修改</w:t>
      </w:r>
      <w:r>
        <w:tab/>
      </w:r>
      <w:r>
        <w:fldChar w:fldCharType="begin"/>
      </w:r>
      <w:r>
        <w:instrText xml:space="preserve"> PAGEREF _Toc43907128 \h </w:instrText>
      </w:r>
      <w:r>
        <w:fldChar w:fldCharType="separate"/>
      </w:r>
      <w:r>
        <w:t>14</w:t>
      </w:r>
      <w:r>
        <w:fldChar w:fldCharType="end"/>
      </w:r>
      <w:r>
        <w:fldChar w:fldCharType="end"/>
      </w:r>
    </w:p>
    <w:p>
      <w:pPr>
        <w:pStyle w:val="13"/>
        <w:tabs>
          <w:tab w:val="right" w:leader="dot" w:pos="8296"/>
        </w:tabs>
      </w:pPr>
      <w:r>
        <w:fldChar w:fldCharType="begin"/>
      </w:r>
      <w:r>
        <w:instrText xml:space="preserve"> HYPERLINK \l "_Toc43907129" </w:instrText>
      </w:r>
      <w:r>
        <w:fldChar w:fldCharType="separate"/>
      </w:r>
      <w:r>
        <w:rPr>
          <w:rStyle w:val="29"/>
          <w:rFonts w:cstheme="minorEastAsia"/>
        </w:rPr>
        <w:t>2.4</w:t>
      </w:r>
      <w:r>
        <w:rPr>
          <w:rStyle w:val="29"/>
          <w:rFonts w:hint="eastAsia" w:cstheme="minorEastAsia"/>
        </w:rPr>
        <w:t>招标文件的异议</w:t>
      </w:r>
      <w:r>
        <w:tab/>
      </w:r>
      <w:r>
        <w:fldChar w:fldCharType="begin"/>
      </w:r>
      <w:r>
        <w:instrText xml:space="preserve"> PAGEREF _Toc43907129 \h </w:instrText>
      </w:r>
      <w:r>
        <w:fldChar w:fldCharType="separate"/>
      </w:r>
      <w:r>
        <w:t>14</w:t>
      </w:r>
      <w:r>
        <w:fldChar w:fldCharType="end"/>
      </w:r>
      <w:r>
        <w:fldChar w:fldCharType="end"/>
      </w:r>
    </w:p>
    <w:p>
      <w:pPr>
        <w:pStyle w:val="22"/>
        <w:tabs>
          <w:tab w:val="right" w:leader="dot" w:pos="8296"/>
        </w:tabs>
      </w:pPr>
      <w:r>
        <w:fldChar w:fldCharType="begin"/>
      </w:r>
      <w:r>
        <w:instrText xml:space="preserve"> HYPERLINK \l "_Toc43907130" </w:instrText>
      </w:r>
      <w:r>
        <w:fldChar w:fldCharType="separate"/>
      </w:r>
      <w:r>
        <w:rPr>
          <w:rStyle w:val="29"/>
          <w:rFonts w:cstheme="minorEastAsia"/>
        </w:rPr>
        <w:t>3.</w:t>
      </w:r>
      <w:r>
        <w:rPr>
          <w:rStyle w:val="29"/>
          <w:rFonts w:hint="eastAsia" w:cstheme="minorEastAsia"/>
        </w:rPr>
        <w:t>投标文件</w:t>
      </w:r>
      <w:r>
        <w:tab/>
      </w:r>
      <w:r>
        <w:fldChar w:fldCharType="begin"/>
      </w:r>
      <w:r>
        <w:instrText xml:space="preserve"> PAGEREF _Toc43907130 \h </w:instrText>
      </w:r>
      <w:r>
        <w:fldChar w:fldCharType="separate"/>
      </w:r>
      <w:r>
        <w:t>14</w:t>
      </w:r>
      <w:r>
        <w:fldChar w:fldCharType="end"/>
      </w:r>
      <w:r>
        <w:fldChar w:fldCharType="end"/>
      </w:r>
    </w:p>
    <w:p>
      <w:pPr>
        <w:pStyle w:val="13"/>
        <w:tabs>
          <w:tab w:val="right" w:leader="dot" w:pos="8296"/>
        </w:tabs>
      </w:pPr>
      <w:r>
        <w:fldChar w:fldCharType="begin"/>
      </w:r>
      <w:r>
        <w:instrText xml:space="preserve"> HYPERLINK \l "_Toc43907131" </w:instrText>
      </w:r>
      <w:r>
        <w:fldChar w:fldCharType="separate"/>
      </w:r>
      <w:r>
        <w:rPr>
          <w:rStyle w:val="29"/>
          <w:rFonts w:cstheme="minorEastAsia"/>
        </w:rPr>
        <w:t>3.1</w:t>
      </w:r>
      <w:r>
        <w:rPr>
          <w:rStyle w:val="29"/>
          <w:rFonts w:hint="eastAsia" w:cstheme="minorEastAsia"/>
        </w:rPr>
        <w:t>投标文件的组成</w:t>
      </w:r>
      <w:r>
        <w:tab/>
      </w:r>
      <w:r>
        <w:fldChar w:fldCharType="begin"/>
      </w:r>
      <w:r>
        <w:instrText xml:space="preserve"> PAGEREF _Toc43907131 \h </w:instrText>
      </w:r>
      <w:r>
        <w:fldChar w:fldCharType="separate"/>
      </w:r>
      <w:r>
        <w:t>14</w:t>
      </w:r>
      <w:r>
        <w:fldChar w:fldCharType="end"/>
      </w:r>
      <w:r>
        <w:fldChar w:fldCharType="end"/>
      </w:r>
    </w:p>
    <w:p>
      <w:pPr>
        <w:pStyle w:val="13"/>
        <w:tabs>
          <w:tab w:val="right" w:leader="dot" w:pos="8296"/>
        </w:tabs>
      </w:pPr>
      <w:r>
        <w:fldChar w:fldCharType="begin"/>
      </w:r>
      <w:r>
        <w:instrText xml:space="preserve"> HYPERLINK \l "_Toc43907132" </w:instrText>
      </w:r>
      <w:r>
        <w:fldChar w:fldCharType="separate"/>
      </w:r>
      <w:r>
        <w:rPr>
          <w:rStyle w:val="29"/>
          <w:rFonts w:cstheme="minorEastAsia"/>
        </w:rPr>
        <w:t>3.2</w:t>
      </w:r>
      <w:r>
        <w:rPr>
          <w:rStyle w:val="29"/>
          <w:rFonts w:hint="eastAsia" w:cstheme="minorEastAsia"/>
        </w:rPr>
        <w:t>投标报价</w:t>
      </w:r>
      <w:r>
        <w:tab/>
      </w:r>
      <w:r>
        <w:fldChar w:fldCharType="begin"/>
      </w:r>
      <w:r>
        <w:instrText xml:space="preserve"> PAGEREF _Toc43907132 \h </w:instrText>
      </w:r>
      <w:r>
        <w:fldChar w:fldCharType="separate"/>
      </w:r>
      <w:r>
        <w:t>15</w:t>
      </w:r>
      <w:r>
        <w:fldChar w:fldCharType="end"/>
      </w:r>
      <w:r>
        <w:fldChar w:fldCharType="end"/>
      </w:r>
    </w:p>
    <w:p>
      <w:pPr>
        <w:pStyle w:val="13"/>
        <w:tabs>
          <w:tab w:val="right" w:leader="dot" w:pos="8296"/>
        </w:tabs>
      </w:pPr>
      <w:r>
        <w:fldChar w:fldCharType="begin"/>
      </w:r>
      <w:r>
        <w:instrText xml:space="preserve"> HYPERLINK \l "_Toc43907133" </w:instrText>
      </w:r>
      <w:r>
        <w:fldChar w:fldCharType="separate"/>
      </w:r>
      <w:r>
        <w:rPr>
          <w:rStyle w:val="29"/>
          <w:rFonts w:cstheme="minorEastAsia"/>
        </w:rPr>
        <w:t>3.3</w:t>
      </w:r>
      <w:r>
        <w:rPr>
          <w:rStyle w:val="29"/>
          <w:rFonts w:hint="eastAsia" w:cstheme="minorEastAsia"/>
        </w:rPr>
        <w:t>投标有效期</w:t>
      </w:r>
      <w:r>
        <w:tab/>
      </w:r>
      <w:r>
        <w:fldChar w:fldCharType="begin"/>
      </w:r>
      <w:r>
        <w:instrText xml:space="preserve"> PAGEREF _Toc43907133 \h </w:instrText>
      </w:r>
      <w:r>
        <w:fldChar w:fldCharType="separate"/>
      </w:r>
      <w:r>
        <w:t>15</w:t>
      </w:r>
      <w:r>
        <w:fldChar w:fldCharType="end"/>
      </w:r>
      <w:r>
        <w:fldChar w:fldCharType="end"/>
      </w:r>
    </w:p>
    <w:p>
      <w:pPr>
        <w:pStyle w:val="13"/>
        <w:tabs>
          <w:tab w:val="right" w:leader="dot" w:pos="8296"/>
        </w:tabs>
      </w:pPr>
      <w:r>
        <w:fldChar w:fldCharType="begin"/>
      </w:r>
      <w:r>
        <w:instrText xml:space="preserve"> HYPERLINK \l "_Toc43907134" </w:instrText>
      </w:r>
      <w:r>
        <w:fldChar w:fldCharType="separate"/>
      </w:r>
      <w:r>
        <w:rPr>
          <w:rStyle w:val="29"/>
          <w:rFonts w:cstheme="minorEastAsia"/>
        </w:rPr>
        <w:t>3.4</w:t>
      </w:r>
      <w:r>
        <w:rPr>
          <w:rStyle w:val="29"/>
          <w:rFonts w:hint="eastAsia" w:cstheme="minorEastAsia"/>
        </w:rPr>
        <w:t>资格审查资料</w:t>
      </w:r>
      <w:r>
        <w:tab/>
      </w:r>
      <w:r>
        <w:fldChar w:fldCharType="begin"/>
      </w:r>
      <w:r>
        <w:instrText xml:space="preserve"> PAGEREF _Toc43907134 \h </w:instrText>
      </w:r>
      <w:r>
        <w:fldChar w:fldCharType="separate"/>
      </w:r>
      <w:r>
        <w:t>15</w:t>
      </w:r>
      <w:r>
        <w:fldChar w:fldCharType="end"/>
      </w:r>
      <w:r>
        <w:fldChar w:fldCharType="end"/>
      </w:r>
    </w:p>
    <w:p>
      <w:pPr>
        <w:pStyle w:val="13"/>
        <w:tabs>
          <w:tab w:val="right" w:leader="dot" w:pos="8296"/>
        </w:tabs>
      </w:pPr>
      <w:r>
        <w:fldChar w:fldCharType="begin"/>
      </w:r>
      <w:r>
        <w:instrText xml:space="preserve"> HYPERLINK \l "_Toc43907135" </w:instrText>
      </w:r>
      <w:r>
        <w:fldChar w:fldCharType="separate"/>
      </w:r>
      <w:r>
        <w:rPr>
          <w:rStyle w:val="29"/>
          <w:rFonts w:cstheme="minorEastAsia"/>
        </w:rPr>
        <w:t>3.5</w:t>
      </w:r>
      <w:r>
        <w:rPr>
          <w:rStyle w:val="29"/>
          <w:rFonts w:hint="eastAsia" w:cstheme="minorEastAsia"/>
        </w:rPr>
        <w:t>备选投标方案</w:t>
      </w:r>
      <w:r>
        <w:tab/>
      </w:r>
      <w:r>
        <w:fldChar w:fldCharType="begin"/>
      </w:r>
      <w:r>
        <w:instrText xml:space="preserve"> PAGEREF _Toc43907135 \h </w:instrText>
      </w:r>
      <w:r>
        <w:fldChar w:fldCharType="separate"/>
      </w:r>
      <w:r>
        <w:t>16</w:t>
      </w:r>
      <w:r>
        <w:fldChar w:fldCharType="end"/>
      </w:r>
      <w:r>
        <w:fldChar w:fldCharType="end"/>
      </w:r>
    </w:p>
    <w:p>
      <w:pPr>
        <w:pStyle w:val="13"/>
        <w:tabs>
          <w:tab w:val="right" w:leader="dot" w:pos="8296"/>
        </w:tabs>
      </w:pPr>
      <w:r>
        <w:fldChar w:fldCharType="begin"/>
      </w:r>
      <w:r>
        <w:instrText xml:space="preserve"> HYPERLINK \l "_Toc43907136" </w:instrText>
      </w:r>
      <w:r>
        <w:fldChar w:fldCharType="separate"/>
      </w:r>
      <w:r>
        <w:rPr>
          <w:rStyle w:val="29"/>
          <w:rFonts w:cstheme="minorEastAsia"/>
        </w:rPr>
        <w:t>3.6</w:t>
      </w:r>
      <w:r>
        <w:rPr>
          <w:rStyle w:val="29"/>
          <w:rFonts w:hint="eastAsia" w:cstheme="minorEastAsia"/>
        </w:rPr>
        <w:t>投标文件的编制</w:t>
      </w:r>
      <w:r>
        <w:tab/>
      </w:r>
      <w:r>
        <w:fldChar w:fldCharType="begin"/>
      </w:r>
      <w:r>
        <w:instrText xml:space="preserve"> PAGEREF _Toc43907136 \h </w:instrText>
      </w:r>
      <w:r>
        <w:fldChar w:fldCharType="separate"/>
      </w:r>
      <w:r>
        <w:t>16</w:t>
      </w:r>
      <w:r>
        <w:fldChar w:fldCharType="end"/>
      </w:r>
      <w:r>
        <w:fldChar w:fldCharType="end"/>
      </w:r>
    </w:p>
    <w:p>
      <w:pPr>
        <w:pStyle w:val="22"/>
        <w:tabs>
          <w:tab w:val="right" w:leader="dot" w:pos="8296"/>
        </w:tabs>
      </w:pPr>
      <w:r>
        <w:fldChar w:fldCharType="begin"/>
      </w:r>
      <w:r>
        <w:instrText xml:space="preserve"> HYPERLINK \l "_Toc43907137" </w:instrText>
      </w:r>
      <w:r>
        <w:fldChar w:fldCharType="separate"/>
      </w:r>
      <w:r>
        <w:rPr>
          <w:rStyle w:val="29"/>
          <w:rFonts w:cstheme="minorEastAsia"/>
        </w:rPr>
        <w:t>4.</w:t>
      </w:r>
      <w:r>
        <w:rPr>
          <w:rStyle w:val="29"/>
          <w:rFonts w:hint="eastAsia" w:cstheme="minorEastAsia"/>
        </w:rPr>
        <w:t>投标</w:t>
      </w:r>
      <w:r>
        <w:tab/>
      </w:r>
      <w:r>
        <w:fldChar w:fldCharType="begin"/>
      </w:r>
      <w:r>
        <w:instrText xml:space="preserve"> PAGEREF _Toc43907137 \h </w:instrText>
      </w:r>
      <w:r>
        <w:fldChar w:fldCharType="separate"/>
      </w:r>
      <w:r>
        <w:t>16</w:t>
      </w:r>
      <w:r>
        <w:fldChar w:fldCharType="end"/>
      </w:r>
      <w:r>
        <w:fldChar w:fldCharType="end"/>
      </w:r>
    </w:p>
    <w:p>
      <w:pPr>
        <w:pStyle w:val="13"/>
        <w:tabs>
          <w:tab w:val="right" w:leader="dot" w:pos="8296"/>
        </w:tabs>
      </w:pPr>
      <w:r>
        <w:fldChar w:fldCharType="begin"/>
      </w:r>
      <w:r>
        <w:instrText xml:space="preserve"> HYPERLINK \l "_Toc43907138" </w:instrText>
      </w:r>
      <w:r>
        <w:fldChar w:fldCharType="separate"/>
      </w:r>
      <w:r>
        <w:rPr>
          <w:rStyle w:val="29"/>
          <w:rFonts w:cstheme="minorEastAsia"/>
        </w:rPr>
        <w:t>4.1</w:t>
      </w:r>
      <w:r>
        <w:rPr>
          <w:rStyle w:val="29"/>
          <w:rFonts w:hint="eastAsia" w:cstheme="minorEastAsia"/>
        </w:rPr>
        <w:t>投标文件的密封和标记</w:t>
      </w:r>
      <w:r>
        <w:tab/>
      </w:r>
      <w:r>
        <w:fldChar w:fldCharType="begin"/>
      </w:r>
      <w:r>
        <w:instrText xml:space="preserve"> PAGEREF _Toc43907138 \h </w:instrText>
      </w:r>
      <w:r>
        <w:fldChar w:fldCharType="separate"/>
      </w:r>
      <w:r>
        <w:t>16</w:t>
      </w:r>
      <w:r>
        <w:fldChar w:fldCharType="end"/>
      </w:r>
      <w:r>
        <w:fldChar w:fldCharType="end"/>
      </w:r>
    </w:p>
    <w:p>
      <w:pPr>
        <w:pStyle w:val="13"/>
        <w:tabs>
          <w:tab w:val="right" w:leader="dot" w:pos="8296"/>
        </w:tabs>
      </w:pPr>
      <w:r>
        <w:fldChar w:fldCharType="begin"/>
      </w:r>
      <w:r>
        <w:instrText xml:space="preserve"> HYPERLINK \l "_Toc43907139" </w:instrText>
      </w:r>
      <w:r>
        <w:fldChar w:fldCharType="separate"/>
      </w:r>
      <w:r>
        <w:rPr>
          <w:rStyle w:val="29"/>
          <w:rFonts w:cstheme="minorEastAsia"/>
        </w:rPr>
        <w:t>4.2</w:t>
      </w:r>
      <w:r>
        <w:rPr>
          <w:rStyle w:val="29"/>
          <w:rFonts w:hint="eastAsia" w:cstheme="minorEastAsia"/>
        </w:rPr>
        <w:t>投标文件的递交</w:t>
      </w:r>
      <w:r>
        <w:tab/>
      </w:r>
      <w:r>
        <w:fldChar w:fldCharType="begin"/>
      </w:r>
      <w:r>
        <w:instrText xml:space="preserve"> PAGEREF _Toc43907139 \h </w:instrText>
      </w:r>
      <w:r>
        <w:fldChar w:fldCharType="separate"/>
      </w:r>
      <w:r>
        <w:t>16</w:t>
      </w:r>
      <w:r>
        <w:fldChar w:fldCharType="end"/>
      </w:r>
      <w:r>
        <w:fldChar w:fldCharType="end"/>
      </w:r>
    </w:p>
    <w:p>
      <w:pPr>
        <w:pStyle w:val="13"/>
        <w:tabs>
          <w:tab w:val="right" w:leader="dot" w:pos="8296"/>
        </w:tabs>
      </w:pPr>
      <w:r>
        <w:fldChar w:fldCharType="begin"/>
      </w:r>
      <w:r>
        <w:instrText xml:space="preserve"> HYPERLINK \l "_Toc43907140" </w:instrText>
      </w:r>
      <w:r>
        <w:fldChar w:fldCharType="separate"/>
      </w:r>
      <w:r>
        <w:rPr>
          <w:rStyle w:val="29"/>
          <w:rFonts w:cstheme="minorEastAsia"/>
        </w:rPr>
        <w:t>4.3</w:t>
      </w:r>
      <w:r>
        <w:rPr>
          <w:rStyle w:val="29"/>
          <w:rFonts w:hint="eastAsia" w:cstheme="minorEastAsia"/>
        </w:rPr>
        <w:t>投标文件的修改与撤回</w:t>
      </w:r>
      <w:r>
        <w:tab/>
      </w:r>
      <w:r>
        <w:fldChar w:fldCharType="begin"/>
      </w:r>
      <w:r>
        <w:instrText xml:space="preserve"> PAGEREF _Toc43907140 \h </w:instrText>
      </w:r>
      <w:r>
        <w:fldChar w:fldCharType="separate"/>
      </w:r>
      <w:r>
        <w:t>17</w:t>
      </w:r>
      <w:r>
        <w:fldChar w:fldCharType="end"/>
      </w:r>
      <w:r>
        <w:fldChar w:fldCharType="end"/>
      </w:r>
    </w:p>
    <w:p>
      <w:pPr>
        <w:pStyle w:val="22"/>
        <w:tabs>
          <w:tab w:val="right" w:leader="dot" w:pos="8296"/>
        </w:tabs>
      </w:pPr>
      <w:r>
        <w:fldChar w:fldCharType="begin"/>
      </w:r>
      <w:r>
        <w:instrText xml:space="preserve"> HYPERLINK \l "_Toc43907141" </w:instrText>
      </w:r>
      <w:r>
        <w:fldChar w:fldCharType="separate"/>
      </w:r>
      <w:r>
        <w:rPr>
          <w:rStyle w:val="29"/>
          <w:rFonts w:cstheme="minorEastAsia"/>
        </w:rPr>
        <w:t>5.</w:t>
      </w:r>
      <w:r>
        <w:rPr>
          <w:rStyle w:val="29"/>
          <w:rFonts w:hint="eastAsia" w:cstheme="minorEastAsia"/>
        </w:rPr>
        <w:t>开标</w:t>
      </w:r>
      <w:r>
        <w:tab/>
      </w:r>
      <w:r>
        <w:fldChar w:fldCharType="begin"/>
      </w:r>
      <w:r>
        <w:instrText xml:space="preserve"> PAGEREF _Toc43907141 \h </w:instrText>
      </w:r>
      <w:r>
        <w:fldChar w:fldCharType="separate"/>
      </w:r>
      <w:r>
        <w:t>17</w:t>
      </w:r>
      <w:r>
        <w:fldChar w:fldCharType="end"/>
      </w:r>
      <w:r>
        <w:fldChar w:fldCharType="end"/>
      </w:r>
    </w:p>
    <w:p>
      <w:pPr>
        <w:pStyle w:val="13"/>
        <w:tabs>
          <w:tab w:val="right" w:leader="dot" w:pos="8296"/>
        </w:tabs>
      </w:pPr>
      <w:r>
        <w:fldChar w:fldCharType="begin"/>
      </w:r>
      <w:r>
        <w:instrText xml:space="preserve"> HYPERLINK \l "_Toc43907142" </w:instrText>
      </w:r>
      <w:r>
        <w:fldChar w:fldCharType="separate"/>
      </w:r>
      <w:r>
        <w:rPr>
          <w:rStyle w:val="29"/>
          <w:rFonts w:cstheme="minorEastAsia"/>
        </w:rPr>
        <w:t>5.1</w:t>
      </w:r>
      <w:r>
        <w:rPr>
          <w:rStyle w:val="29"/>
          <w:rFonts w:hint="eastAsia" w:cstheme="minorEastAsia"/>
        </w:rPr>
        <w:t>开标时间和地点</w:t>
      </w:r>
      <w:r>
        <w:tab/>
      </w:r>
      <w:r>
        <w:fldChar w:fldCharType="begin"/>
      </w:r>
      <w:r>
        <w:instrText xml:space="preserve"> PAGEREF _Toc43907142 \h </w:instrText>
      </w:r>
      <w:r>
        <w:fldChar w:fldCharType="separate"/>
      </w:r>
      <w:r>
        <w:t>17</w:t>
      </w:r>
      <w:r>
        <w:fldChar w:fldCharType="end"/>
      </w:r>
      <w:r>
        <w:fldChar w:fldCharType="end"/>
      </w:r>
    </w:p>
    <w:p>
      <w:pPr>
        <w:pStyle w:val="13"/>
        <w:tabs>
          <w:tab w:val="right" w:leader="dot" w:pos="8296"/>
        </w:tabs>
      </w:pPr>
      <w:r>
        <w:fldChar w:fldCharType="begin"/>
      </w:r>
      <w:r>
        <w:instrText xml:space="preserve"> HYPERLINK \l "_Toc43907143" </w:instrText>
      </w:r>
      <w:r>
        <w:fldChar w:fldCharType="separate"/>
      </w:r>
      <w:r>
        <w:rPr>
          <w:rStyle w:val="29"/>
          <w:rFonts w:cstheme="minorEastAsia"/>
        </w:rPr>
        <w:t>5.2</w:t>
      </w:r>
      <w:r>
        <w:rPr>
          <w:rStyle w:val="29"/>
          <w:rFonts w:hint="eastAsia" w:cstheme="minorEastAsia"/>
        </w:rPr>
        <w:t>开标程序</w:t>
      </w:r>
      <w:r>
        <w:tab/>
      </w:r>
      <w:r>
        <w:fldChar w:fldCharType="begin"/>
      </w:r>
      <w:r>
        <w:instrText xml:space="preserve"> PAGEREF _Toc43907143 \h </w:instrText>
      </w:r>
      <w:r>
        <w:fldChar w:fldCharType="separate"/>
      </w:r>
      <w:r>
        <w:t>17</w:t>
      </w:r>
      <w:r>
        <w:fldChar w:fldCharType="end"/>
      </w:r>
      <w:r>
        <w:fldChar w:fldCharType="end"/>
      </w:r>
    </w:p>
    <w:p>
      <w:pPr>
        <w:pStyle w:val="13"/>
        <w:tabs>
          <w:tab w:val="right" w:leader="dot" w:pos="8296"/>
        </w:tabs>
      </w:pPr>
      <w:r>
        <w:fldChar w:fldCharType="begin"/>
      </w:r>
      <w:r>
        <w:instrText xml:space="preserve"> HYPERLINK \l "_Toc43907144" </w:instrText>
      </w:r>
      <w:r>
        <w:fldChar w:fldCharType="separate"/>
      </w:r>
      <w:r>
        <w:rPr>
          <w:rStyle w:val="29"/>
          <w:rFonts w:cstheme="minorEastAsia"/>
        </w:rPr>
        <w:t>5.3</w:t>
      </w:r>
      <w:r>
        <w:rPr>
          <w:rStyle w:val="29"/>
          <w:rFonts w:hint="eastAsia" w:cstheme="minorEastAsia"/>
        </w:rPr>
        <w:t>开标异议</w:t>
      </w:r>
      <w:r>
        <w:tab/>
      </w:r>
      <w:r>
        <w:fldChar w:fldCharType="begin"/>
      </w:r>
      <w:r>
        <w:instrText xml:space="preserve"> PAGEREF _Toc43907144 \h </w:instrText>
      </w:r>
      <w:r>
        <w:fldChar w:fldCharType="separate"/>
      </w:r>
      <w:r>
        <w:t>17</w:t>
      </w:r>
      <w:r>
        <w:fldChar w:fldCharType="end"/>
      </w:r>
      <w:r>
        <w:fldChar w:fldCharType="end"/>
      </w:r>
    </w:p>
    <w:p>
      <w:pPr>
        <w:pStyle w:val="22"/>
        <w:tabs>
          <w:tab w:val="right" w:leader="dot" w:pos="8296"/>
        </w:tabs>
      </w:pPr>
      <w:r>
        <w:fldChar w:fldCharType="begin"/>
      </w:r>
      <w:r>
        <w:instrText xml:space="preserve"> HYPERLINK \l "_Toc43907145" </w:instrText>
      </w:r>
      <w:r>
        <w:fldChar w:fldCharType="separate"/>
      </w:r>
      <w:r>
        <w:rPr>
          <w:rStyle w:val="29"/>
          <w:rFonts w:cstheme="minorEastAsia"/>
        </w:rPr>
        <w:t>6.</w:t>
      </w:r>
      <w:r>
        <w:rPr>
          <w:rStyle w:val="29"/>
          <w:rFonts w:hint="eastAsia" w:cstheme="minorEastAsia"/>
        </w:rPr>
        <w:t>评标</w:t>
      </w:r>
      <w:r>
        <w:tab/>
      </w:r>
      <w:r>
        <w:fldChar w:fldCharType="begin"/>
      </w:r>
      <w:r>
        <w:instrText xml:space="preserve"> PAGEREF _Toc43907145 \h </w:instrText>
      </w:r>
      <w:r>
        <w:fldChar w:fldCharType="separate"/>
      </w:r>
      <w:r>
        <w:t>17</w:t>
      </w:r>
      <w:r>
        <w:fldChar w:fldCharType="end"/>
      </w:r>
      <w:r>
        <w:fldChar w:fldCharType="end"/>
      </w:r>
    </w:p>
    <w:p>
      <w:pPr>
        <w:pStyle w:val="13"/>
        <w:tabs>
          <w:tab w:val="right" w:leader="dot" w:pos="8296"/>
        </w:tabs>
      </w:pPr>
      <w:r>
        <w:fldChar w:fldCharType="begin"/>
      </w:r>
      <w:r>
        <w:instrText xml:space="preserve"> HYPERLINK \l "_Toc43907146" </w:instrText>
      </w:r>
      <w:r>
        <w:fldChar w:fldCharType="separate"/>
      </w:r>
      <w:r>
        <w:rPr>
          <w:rStyle w:val="29"/>
          <w:rFonts w:cstheme="minorEastAsia"/>
        </w:rPr>
        <w:t>6.1</w:t>
      </w:r>
      <w:r>
        <w:rPr>
          <w:rStyle w:val="29"/>
          <w:rFonts w:hint="eastAsia" w:cstheme="minorEastAsia"/>
        </w:rPr>
        <w:t>评标委员会</w:t>
      </w:r>
      <w:r>
        <w:tab/>
      </w:r>
      <w:r>
        <w:fldChar w:fldCharType="begin"/>
      </w:r>
      <w:r>
        <w:instrText xml:space="preserve"> PAGEREF _Toc43907146 \h </w:instrText>
      </w:r>
      <w:r>
        <w:fldChar w:fldCharType="separate"/>
      </w:r>
      <w:r>
        <w:t>17</w:t>
      </w:r>
      <w:r>
        <w:fldChar w:fldCharType="end"/>
      </w:r>
      <w:r>
        <w:fldChar w:fldCharType="end"/>
      </w:r>
    </w:p>
    <w:p>
      <w:pPr>
        <w:pStyle w:val="13"/>
        <w:tabs>
          <w:tab w:val="right" w:leader="dot" w:pos="8296"/>
        </w:tabs>
      </w:pPr>
      <w:r>
        <w:fldChar w:fldCharType="begin"/>
      </w:r>
      <w:r>
        <w:instrText xml:space="preserve"> HYPERLINK \l "_Toc43907147" </w:instrText>
      </w:r>
      <w:r>
        <w:fldChar w:fldCharType="separate"/>
      </w:r>
      <w:r>
        <w:rPr>
          <w:rStyle w:val="29"/>
          <w:rFonts w:cstheme="minorEastAsia"/>
        </w:rPr>
        <w:t>6.2</w:t>
      </w:r>
      <w:r>
        <w:rPr>
          <w:rStyle w:val="29"/>
          <w:rFonts w:hint="eastAsia" w:cstheme="minorEastAsia"/>
        </w:rPr>
        <w:t>评标原则</w:t>
      </w:r>
      <w:r>
        <w:tab/>
      </w:r>
      <w:r>
        <w:fldChar w:fldCharType="begin"/>
      </w:r>
      <w:r>
        <w:instrText xml:space="preserve"> PAGEREF _Toc43907147 \h </w:instrText>
      </w:r>
      <w:r>
        <w:fldChar w:fldCharType="separate"/>
      </w:r>
      <w:r>
        <w:t>18</w:t>
      </w:r>
      <w:r>
        <w:fldChar w:fldCharType="end"/>
      </w:r>
      <w:r>
        <w:fldChar w:fldCharType="end"/>
      </w:r>
    </w:p>
    <w:p>
      <w:pPr>
        <w:pStyle w:val="13"/>
        <w:tabs>
          <w:tab w:val="right" w:leader="dot" w:pos="8296"/>
        </w:tabs>
      </w:pPr>
      <w:r>
        <w:fldChar w:fldCharType="begin"/>
      </w:r>
      <w:r>
        <w:instrText xml:space="preserve"> HYPERLINK \l "_Toc43907148" </w:instrText>
      </w:r>
      <w:r>
        <w:fldChar w:fldCharType="separate"/>
      </w:r>
      <w:r>
        <w:rPr>
          <w:rStyle w:val="29"/>
          <w:rFonts w:cstheme="minorEastAsia"/>
        </w:rPr>
        <w:t>6.3</w:t>
      </w:r>
      <w:r>
        <w:rPr>
          <w:rStyle w:val="29"/>
          <w:rFonts w:hint="eastAsia" w:cstheme="minorEastAsia"/>
        </w:rPr>
        <w:t>评标</w:t>
      </w:r>
      <w:r>
        <w:tab/>
      </w:r>
      <w:r>
        <w:fldChar w:fldCharType="begin"/>
      </w:r>
      <w:r>
        <w:instrText xml:space="preserve"> PAGEREF _Toc43907148 \h </w:instrText>
      </w:r>
      <w:r>
        <w:fldChar w:fldCharType="separate"/>
      </w:r>
      <w:r>
        <w:t>18</w:t>
      </w:r>
      <w:r>
        <w:fldChar w:fldCharType="end"/>
      </w:r>
      <w:r>
        <w:fldChar w:fldCharType="end"/>
      </w:r>
    </w:p>
    <w:p>
      <w:pPr>
        <w:pStyle w:val="22"/>
        <w:tabs>
          <w:tab w:val="right" w:leader="dot" w:pos="8296"/>
        </w:tabs>
      </w:pPr>
      <w:r>
        <w:fldChar w:fldCharType="begin"/>
      </w:r>
      <w:r>
        <w:instrText xml:space="preserve"> HYPERLINK \l "_Toc43907149" </w:instrText>
      </w:r>
      <w:r>
        <w:fldChar w:fldCharType="separate"/>
      </w:r>
      <w:r>
        <w:rPr>
          <w:rStyle w:val="29"/>
          <w:rFonts w:cstheme="minorEastAsia"/>
        </w:rPr>
        <w:t>7.</w:t>
      </w:r>
      <w:r>
        <w:rPr>
          <w:rStyle w:val="29"/>
          <w:rFonts w:hint="eastAsia" w:cstheme="minorEastAsia"/>
        </w:rPr>
        <w:t>合同授予</w:t>
      </w:r>
      <w:r>
        <w:tab/>
      </w:r>
      <w:r>
        <w:fldChar w:fldCharType="begin"/>
      </w:r>
      <w:r>
        <w:instrText xml:space="preserve"> PAGEREF _Toc43907149 \h </w:instrText>
      </w:r>
      <w:r>
        <w:fldChar w:fldCharType="separate"/>
      </w:r>
      <w:r>
        <w:t>18</w:t>
      </w:r>
      <w:r>
        <w:fldChar w:fldCharType="end"/>
      </w:r>
      <w:r>
        <w:fldChar w:fldCharType="end"/>
      </w:r>
    </w:p>
    <w:p>
      <w:pPr>
        <w:pStyle w:val="13"/>
        <w:tabs>
          <w:tab w:val="right" w:leader="dot" w:pos="8296"/>
        </w:tabs>
      </w:pPr>
      <w:r>
        <w:fldChar w:fldCharType="begin"/>
      </w:r>
      <w:r>
        <w:instrText xml:space="preserve"> HYPERLINK \l "_Toc43907150" </w:instrText>
      </w:r>
      <w:r>
        <w:fldChar w:fldCharType="separate"/>
      </w:r>
      <w:r>
        <w:rPr>
          <w:rStyle w:val="29"/>
          <w:rFonts w:cstheme="minorEastAsia"/>
        </w:rPr>
        <w:t>7.1</w:t>
      </w:r>
      <w:r>
        <w:rPr>
          <w:rStyle w:val="29"/>
          <w:rFonts w:hint="eastAsia" w:cstheme="minorEastAsia"/>
        </w:rPr>
        <w:t>中标候选人公示</w:t>
      </w:r>
      <w:r>
        <w:tab/>
      </w:r>
      <w:r>
        <w:fldChar w:fldCharType="begin"/>
      </w:r>
      <w:r>
        <w:instrText xml:space="preserve"> PAGEREF _Toc43907150 \h </w:instrText>
      </w:r>
      <w:r>
        <w:fldChar w:fldCharType="separate"/>
      </w:r>
      <w:r>
        <w:t>18</w:t>
      </w:r>
      <w:r>
        <w:fldChar w:fldCharType="end"/>
      </w:r>
      <w:r>
        <w:fldChar w:fldCharType="end"/>
      </w:r>
    </w:p>
    <w:p>
      <w:pPr>
        <w:pStyle w:val="13"/>
        <w:tabs>
          <w:tab w:val="right" w:leader="dot" w:pos="8296"/>
        </w:tabs>
      </w:pPr>
      <w:r>
        <w:fldChar w:fldCharType="begin"/>
      </w:r>
      <w:r>
        <w:instrText xml:space="preserve"> HYPERLINK \l "_Toc43907151" </w:instrText>
      </w:r>
      <w:r>
        <w:fldChar w:fldCharType="separate"/>
      </w:r>
      <w:r>
        <w:rPr>
          <w:rStyle w:val="29"/>
          <w:rFonts w:cstheme="minorEastAsia"/>
        </w:rPr>
        <w:t>7.2</w:t>
      </w:r>
      <w:r>
        <w:rPr>
          <w:rStyle w:val="29"/>
          <w:rFonts w:hint="eastAsia" w:cstheme="minorEastAsia"/>
        </w:rPr>
        <w:t>评标结果异议</w:t>
      </w:r>
      <w:r>
        <w:tab/>
      </w:r>
      <w:r>
        <w:fldChar w:fldCharType="begin"/>
      </w:r>
      <w:r>
        <w:instrText xml:space="preserve"> PAGEREF _Toc43907151 \h </w:instrText>
      </w:r>
      <w:r>
        <w:fldChar w:fldCharType="separate"/>
      </w:r>
      <w:r>
        <w:t>18</w:t>
      </w:r>
      <w:r>
        <w:fldChar w:fldCharType="end"/>
      </w:r>
      <w:r>
        <w:fldChar w:fldCharType="end"/>
      </w:r>
    </w:p>
    <w:p>
      <w:pPr>
        <w:pStyle w:val="13"/>
        <w:tabs>
          <w:tab w:val="right" w:leader="dot" w:pos="8296"/>
        </w:tabs>
      </w:pPr>
      <w:r>
        <w:fldChar w:fldCharType="begin"/>
      </w:r>
      <w:r>
        <w:instrText xml:space="preserve"> HYPERLINK \l "_Toc43907152" </w:instrText>
      </w:r>
      <w:r>
        <w:fldChar w:fldCharType="separate"/>
      </w:r>
      <w:r>
        <w:rPr>
          <w:rStyle w:val="29"/>
          <w:rFonts w:cstheme="minorEastAsia"/>
        </w:rPr>
        <w:t>7.3</w:t>
      </w:r>
      <w:r>
        <w:rPr>
          <w:rStyle w:val="29"/>
          <w:rFonts w:hint="eastAsia" w:cstheme="minorEastAsia"/>
        </w:rPr>
        <w:t>中标候选人履约能力审查</w:t>
      </w:r>
      <w:r>
        <w:tab/>
      </w:r>
      <w:r>
        <w:fldChar w:fldCharType="begin"/>
      </w:r>
      <w:r>
        <w:instrText xml:space="preserve"> PAGEREF _Toc43907152 \h </w:instrText>
      </w:r>
      <w:r>
        <w:fldChar w:fldCharType="separate"/>
      </w:r>
      <w:r>
        <w:t>18</w:t>
      </w:r>
      <w:r>
        <w:fldChar w:fldCharType="end"/>
      </w:r>
      <w:r>
        <w:fldChar w:fldCharType="end"/>
      </w:r>
    </w:p>
    <w:p>
      <w:pPr>
        <w:pStyle w:val="13"/>
        <w:tabs>
          <w:tab w:val="right" w:leader="dot" w:pos="8296"/>
        </w:tabs>
      </w:pPr>
      <w:r>
        <w:fldChar w:fldCharType="begin"/>
      </w:r>
      <w:r>
        <w:instrText xml:space="preserve"> HYPERLINK \l "_Toc43907153" </w:instrText>
      </w:r>
      <w:r>
        <w:fldChar w:fldCharType="separate"/>
      </w:r>
      <w:r>
        <w:rPr>
          <w:rStyle w:val="29"/>
          <w:rFonts w:cstheme="minorEastAsia"/>
        </w:rPr>
        <w:t>7.4</w:t>
      </w:r>
      <w:r>
        <w:rPr>
          <w:rStyle w:val="29"/>
          <w:rFonts w:hint="eastAsia" w:cstheme="minorEastAsia"/>
        </w:rPr>
        <w:t>定标</w:t>
      </w:r>
      <w:r>
        <w:tab/>
      </w:r>
      <w:r>
        <w:fldChar w:fldCharType="begin"/>
      </w:r>
      <w:r>
        <w:instrText xml:space="preserve"> PAGEREF _Toc43907153 \h </w:instrText>
      </w:r>
      <w:r>
        <w:fldChar w:fldCharType="separate"/>
      </w:r>
      <w:r>
        <w:t>18</w:t>
      </w:r>
      <w:r>
        <w:fldChar w:fldCharType="end"/>
      </w:r>
      <w:r>
        <w:fldChar w:fldCharType="end"/>
      </w:r>
    </w:p>
    <w:p>
      <w:pPr>
        <w:pStyle w:val="13"/>
        <w:tabs>
          <w:tab w:val="right" w:leader="dot" w:pos="8296"/>
        </w:tabs>
      </w:pPr>
      <w:r>
        <w:fldChar w:fldCharType="begin"/>
      </w:r>
      <w:r>
        <w:instrText xml:space="preserve"> HYPERLINK \l "_Toc43907154" </w:instrText>
      </w:r>
      <w:r>
        <w:fldChar w:fldCharType="separate"/>
      </w:r>
      <w:r>
        <w:rPr>
          <w:rStyle w:val="29"/>
          <w:rFonts w:cstheme="minorEastAsia"/>
        </w:rPr>
        <w:t>7.5</w:t>
      </w:r>
      <w:r>
        <w:rPr>
          <w:rStyle w:val="29"/>
          <w:rFonts w:hint="eastAsia" w:cstheme="minorEastAsia"/>
        </w:rPr>
        <w:t>中标通知</w:t>
      </w:r>
      <w:r>
        <w:tab/>
      </w:r>
      <w:r>
        <w:fldChar w:fldCharType="begin"/>
      </w:r>
      <w:r>
        <w:instrText xml:space="preserve"> PAGEREF _Toc43907154 \h </w:instrText>
      </w:r>
      <w:r>
        <w:fldChar w:fldCharType="separate"/>
      </w:r>
      <w:r>
        <w:t>18</w:t>
      </w:r>
      <w:r>
        <w:fldChar w:fldCharType="end"/>
      </w:r>
      <w:r>
        <w:fldChar w:fldCharType="end"/>
      </w:r>
    </w:p>
    <w:p>
      <w:pPr>
        <w:pStyle w:val="13"/>
        <w:tabs>
          <w:tab w:val="right" w:leader="dot" w:pos="8296"/>
        </w:tabs>
      </w:pPr>
      <w:r>
        <w:fldChar w:fldCharType="begin"/>
      </w:r>
      <w:r>
        <w:instrText xml:space="preserve"> HYPERLINK \l "_Toc43907155" </w:instrText>
      </w:r>
      <w:r>
        <w:fldChar w:fldCharType="separate"/>
      </w:r>
      <w:r>
        <w:rPr>
          <w:rStyle w:val="29"/>
          <w:rFonts w:cstheme="minorEastAsia"/>
        </w:rPr>
        <w:t>7.6</w:t>
      </w:r>
      <w:r>
        <w:rPr>
          <w:rStyle w:val="29"/>
          <w:rFonts w:hint="eastAsia" w:cstheme="minorEastAsia"/>
        </w:rPr>
        <w:t>签订合同</w:t>
      </w:r>
      <w:r>
        <w:tab/>
      </w:r>
      <w:r>
        <w:fldChar w:fldCharType="begin"/>
      </w:r>
      <w:r>
        <w:instrText xml:space="preserve"> PAGEREF _Toc43907155 \h </w:instrText>
      </w:r>
      <w:r>
        <w:fldChar w:fldCharType="separate"/>
      </w:r>
      <w:r>
        <w:t>18</w:t>
      </w:r>
      <w:r>
        <w:fldChar w:fldCharType="end"/>
      </w:r>
      <w:r>
        <w:fldChar w:fldCharType="end"/>
      </w:r>
    </w:p>
    <w:p>
      <w:pPr>
        <w:pStyle w:val="22"/>
        <w:tabs>
          <w:tab w:val="right" w:leader="dot" w:pos="8296"/>
        </w:tabs>
      </w:pPr>
      <w:r>
        <w:fldChar w:fldCharType="begin"/>
      </w:r>
      <w:r>
        <w:instrText xml:space="preserve"> HYPERLINK \l "_Toc43907156" </w:instrText>
      </w:r>
      <w:r>
        <w:fldChar w:fldCharType="separate"/>
      </w:r>
      <w:r>
        <w:rPr>
          <w:rStyle w:val="29"/>
          <w:rFonts w:cstheme="minorEastAsia"/>
        </w:rPr>
        <w:t>8.</w:t>
      </w:r>
      <w:r>
        <w:rPr>
          <w:rStyle w:val="29"/>
          <w:rFonts w:hint="eastAsia" w:cstheme="minorEastAsia"/>
        </w:rPr>
        <w:t>纪律和监督</w:t>
      </w:r>
      <w:r>
        <w:tab/>
      </w:r>
      <w:r>
        <w:fldChar w:fldCharType="begin"/>
      </w:r>
      <w:r>
        <w:instrText xml:space="preserve"> PAGEREF _Toc43907156 \h </w:instrText>
      </w:r>
      <w:r>
        <w:fldChar w:fldCharType="separate"/>
      </w:r>
      <w:r>
        <w:t>19</w:t>
      </w:r>
      <w:r>
        <w:fldChar w:fldCharType="end"/>
      </w:r>
      <w:r>
        <w:fldChar w:fldCharType="end"/>
      </w:r>
    </w:p>
    <w:p>
      <w:pPr>
        <w:pStyle w:val="13"/>
        <w:tabs>
          <w:tab w:val="right" w:leader="dot" w:pos="8296"/>
        </w:tabs>
      </w:pPr>
      <w:r>
        <w:fldChar w:fldCharType="begin"/>
      </w:r>
      <w:r>
        <w:instrText xml:space="preserve"> HYPERLINK \l "_Toc43907157" </w:instrText>
      </w:r>
      <w:r>
        <w:fldChar w:fldCharType="separate"/>
      </w:r>
      <w:r>
        <w:rPr>
          <w:rStyle w:val="29"/>
          <w:rFonts w:cstheme="minorEastAsia"/>
        </w:rPr>
        <w:t>8.1</w:t>
      </w:r>
      <w:r>
        <w:rPr>
          <w:rStyle w:val="29"/>
          <w:rFonts w:hint="eastAsia" w:cstheme="minorEastAsia"/>
        </w:rPr>
        <w:t>对招标人的纪律要求</w:t>
      </w:r>
      <w:r>
        <w:tab/>
      </w:r>
      <w:r>
        <w:fldChar w:fldCharType="begin"/>
      </w:r>
      <w:r>
        <w:instrText xml:space="preserve"> PAGEREF _Toc43907157 \h </w:instrText>
      </w:r>
      <w:r>
        <w:fldChar w:fldCharType="separate"/>
      </w:r>
      <w:r>
        <w:t>19</w:t>
      </w:r>
      <w:r>
        <w:fldChar w:fldCharType="end"/>
      </w:r>
      <w:r>
        <w:fldChar w:fldCharType="end"/>
      </w:r>
    </w:p>
    <w:p>
      <w:pPr>
        <w:pStyle w:val="13"/>
        <w:tabs>
          <w:tab w:val="right" w:leader="dot" w:pos="8296"/>
        </w:tabs>
      </w:pPr>
      <w:r>
        <w:fldChar w:fldCharType="begin"/>
      </w:r>
      <w:r>
        <w:instrText xml:space="preserve"> HYPERLINK \l "_Toc43907158" </w:instrText>
      </w:r>
      <w:r>
        <w:fldChar w:fldCharType="separate"/>
      </w:r>
      <w:r>
        <w:rPr>
          <w:rStyle w:val="29"/>
          <w:rFonts w:cstheme="minorEastAsia"/>
        </w:rPr>
        <w:t>8.2</w:t>
      </w:r>
      <w:r>
        <w:rPr>
          <w:rStyle w:val="29"/>
          <w:rFonts w:hint="eastAsia" w:cstheme="minorEastAsia"/>
        </w:rPr>
        <w:t>对投标人的纪律要求</w:t>
      </w:r>
      <w:r>
        <w:tab/>
      </w:r>
      <w:r>
        <w:fldChar w:fldCharType="begin"/>
      </w:r>
      <w:r>
        <w:instrText xml:space="preserve"> PAGEREF _Toc43907158 \h </w:instrText>
      </w:r>
      <w:r>
        <w:fldChar w:fldCharType="separate"/>
      </w:r>
      <w:r>
        <w:t>19</w:t>
      </w:r>
      <w:r>
        <w:fldChar w:fldCharType="end"/>
      </w:r>
      <w:r>
        <w:fldChar w:fldCharType="end"/>
      </w:r>
    </w:p>
    <w:p>
      <w:pPr>
        <w:pStyle w:val="13"/>
        <w:tabs>
          <w:tab w:val="right" w:leader="dot" w:pos="8296"/>
        </w:tabs>
      </w:pPr>
      <w:r>
        <w:fldChar w:fldCharType="begin"/>
      </w:r>
      <w:r>
        <w:instrText xml:space="preserve"> HYPERLINK \l "_Toc43907159" </w:instrText>
      </w:r>
      <w:r>
        <w:fldChar w:fldCharType="separate"/>
      </w:r>
      <w:r>
        <w:rPr>
          <w:rStyle w:val="29"/>
          <w:rFonts w:cstheme="minorEastAsia"/>
        </w:rPr>
        <w:t>8.3</w:t>
      </w:r>
      <w:r>
        <w:rPr>
          <w:rStyle w:val="29"/>
          <w:rFonts w:hint="eastAsia" w:cstheme="minorEastAsia"/>
        </w:rPr>
        <w:t>对评标委员会成员的纪律要求</w:t>
      </w:r>
      <w:r>
        <w:tab/>
      </w:r>
      <w:r>
        <w:fldChar w:fldCharType="begin"/>
      </w:r>
      <w:r>
        <w:instrText xml:space="preserve"> PAGEREF _Toc43907159 \h </w:instrText>
      </w:r>
      <w:r>
        <w:fldChar w:fldCharType="separate"/>
      </w:r>
      <w:r>
        <w:t>19</w:t>
      </w:r>
      <w:r>
        <w:fldChar w:fldCharType="end"/>
      </w:r>
      <w:r>
        <w:fldChar w:fldCharType="end"/>
      </w:r>
    </w:p>
    <w:p>
      <w:pPr>
        <w:pStyle w:val="13"/>
        <w:tabs>
          <w:tab w:val="right" w:leader="dot" w:pos="8296"/>
        </w:tabs>
      </w:pPr>
      <w:r>
        <w:fldChar w:fldCharType="begin"/>
      </w:r>
      <w:r>
        <w:instrText xml:space="preserve"> HYPERLINK \l "_Toc43907160" </w:instrText>
      </w:r>
      <w:r>
        <w:fldChar w:fldCharType="separate"/>
      </w:r>
      <w:r>
        <w:rPr>
          <w:rStyle w:val="29"/>
          <w:rFonts w:cstheme="minorEastAsia"/>
        </w:rPr>
        <w:t>8.4</w:t>
      </w:r>
      <w:r>
        <w:rPr>
          <w:rStyle w:val="29"/>
          <w:rFonts w:hint="eastAsia" w:cstheme="minorEastAsia"/>
        </w:rPr>
        <w:t>对与评标活动有关的工作人员的纪律要求</w:t>
      </w:r>
      <w:r>
        <w:tab/>
      </w:r>
      <w:r>
        <w:fldChar w:fldCharType="begin"/>
      </w:r>
      <w:r>
        <w:instrText xml:space="preserve"> PAGEREF _Toc43907160 \h </w:instrText>
      </w:r>
      <w:r>
        <w:fldChar w:fldCharType="separate"/>
      </w:r>
      <w:r>
        <w:t>19</w:t>
      </w:r>
      <w:r>
        <w:fldChar w:fldCharType="end"/>
      </w:r>
      <w:r>
        <w:fldChar w:fldCharType="end"/>
      </w:r>
    </w:p>
    <w:p>
      <w:pPr>
        <w:pStyle w:val="13"/>
        <w:tabs>
          <w:tab w:val="right" w:leader="dot" w:pos="8296"/>
        </w:tabs>
      </w:pPr>
      <w:r>
        <w:fldChar w:fldCharType="begin"/>
      </w:r>
      <w:r>
        <w:instrText xml:space="preserve"> HYPERLINK \l "_Toc43907161" </w:instrText>
      </w:r>
      <w:r>
        <w:fldChar w:fldCharType="separate"/>
      </w:r>
      <w:r>
        <w:rPr>
          <w:rStyle w:val="29"/>
          <w:rFonts w:cstheme="minorEastAsia"/>
        </w:rPr>
        <w:t>8.5</w:t>
      </w:r>
      <w:r>
        <w:rPr>
          <w:rStyle w:val="29"/>
          <w:rFonts w:hint="eastAsia" w:cstheme="minorEastAsia"/>
        </w:rPr>
        <w:t>投诉</w:t>
      </w:r>
      <w:r>
        <w:tab/>
      </w:r>
      <w:r>
        <w:fldChar w:fldCharType="begin"/>
      </w:r>
      <w:r>
        <w:instrText xml:space="preserve"> PAGEREF _Toc43907161 \h </w:instrText>
      </w:r>
      <w:r>
        <w:fldChar w:fldCharType="separate"/>
      </w:r>
      <w:r>
        <w:t>19</w:t>
      </w:r>
      <w:r>
        <w:fldChar w:fldCharType="end"/>
      </w:r>
      <w:r>
        <w:fldChar w:fldCharType="end"/>
      </w:r>
    </w:p>
    <w:p>
      <w:pPr>
        <w:pStyle w:val="22"/>
        <w:tabs>
          <w:tab w:val="right" w:leader="dot" w:pos="8296"/>
        </w:tabs>
      </w:pPr>
      <w:r>
        <w:fldChar w:fldCharType="begin"/>
      </w:r>
      <w:r>
        <w:instrText xml:space="preserve"> HYPERLINK \l "_Toc43907162" </w:instrText>
      </w:r>
      <w:r>
        <w:fldChar w:fldCharType="separate"/>
      </w:r>
      <w:r>
        <w:rPr>
          <w:rStyle w:val="29"/>
          <w:rFonts w:cstheme="minorEastAsia"/>
        </w:rPr>
        <w:t>9.</w:t>
      </w:r>
      <w:r>
        <w:rPr>
          <w:rStyle w:val="29"/>
          <w:rFonts w:hint="eastAsia" w:cstheme="minorEastAsia"/>
        </w:rPr>
        <w:t>是否采用电子招标投标</w:t>
      </w:r>
      <w:r>
        <w:tab/>
      </w:r>
      <w:r>
        <w:fldChar w:fldCharType="begin"/>
      </w:r>
      <w:r>
        <w:instrText xml:space="preserve"> PAGEREF _Toc43907162 \h </w:instrText>
      </w:r>
      <w:r>
        <w:fldChar w:fldCharType="separate"/>
      </w:r>
      <w:r>
        <w:t>19</w:t>
      </w:r>
      <w:r>
        <w:fldChar w:fldCharType="end"/>
      </w:r>
      <w:r>
        <w:fldChar w:fldCharType="end"/>
      </w:r>
    </w:p>
    <w:p>
      <w:pPr>
        <w:pStyle w:val="22"/>
        <w:tabs>
          <w:tab w:val="right" w:leader="dot" w:pos="8296"/>
        </w:tabs>
      </w:pPr>
      <w:r>
        <w:fldChar w:fldCharType="begin"/>
      </w:r>
      <w:r>
        <w:instrText xml:space="preserve"> HYPERLINK \l "_Toc43907163" </w:instrText>
      </w:r>
      <w:r>
        <w:fldChar w:fldCharType="separate"/>
      </w:r>
      <w:r>
        <w:rPr>
          <w:rStyle w:val="29"/>
          <w:rFonts w:cstheme="minorEastAsia"/>
        </w:rPr>
        <w:t>10.</w:t>
      </w:r>
      <w:r>
        <w:rPr>
          <w:rStyle w:val="29"/>
          <w:rFonts w:hint="eastAsia" w:cstheme="minorEastAsia"/>
        </w:rPr>
        <w:t>需要补充的其他内容</w:t>
      </w:r>
      <w:r>
        <w:tab/>
      </w:r>
      <w:r>
        <w:fldChar w:fldCharType="begin"/>
      </w:r>
      <w:r>
        <w:instrText xml:space="preserve"> PAGEREF _Toc43907163 \h </w:instrText>
      </w:r>
      <w:r>
        <w:fldChar w:fldCharType="separate"/>
      </w:r>
      <w:r>
        <w:t>19</w:t>
      </w:r>
      <w:r>
        <w:fldChar w:fldCharType="end"/>
      </w:r>
      <w:r>
        <w:fldChar w:fldCharType="end"/>
      </w:r>
    </w:p>
    <w:p>
      <w:pPr>
        <w:pStyle w:val="24"/>
        <w:tabs>
          <w:tab w:val="right" w:leader="dot" w:pos="8296"/>
        </w:tabs>
      </w:pPr>
      <w:r>
        <w:fldChar w:fldCharType="begin"/>
      </w:r>
      <w:r>
        <w:instrText xml:space="preserve"> HYPERLINK \l "_Toc43907164" </w:instrText>
      </w:r>
      <w:r>
        <w:fldChar w:fldCharType="separate"/>
      </w:r>
      <w:r>
        <w:rPr>
          <w:rStyle w:val="29"/>
          <w:rFonts w:hint="eastAsia" w:asciiTheme="minorEastAsia" w:hAnsiTheme="minorEastAsia" w:cstheme="minorEastAsia"/>
        </w:rPr>
        <w:t>第三章</w:t>
      </w:r>
      <w:r>
        <w:rPr>
          <w:rStyle w:val="29"/>
          <w:rFonts w:asciiTheme="minorEastAsia" w:hAnsiTheme="minorEastAsia" w:cstheme="minorEastAsia"/>
        </w:rPr>
        <w:t xml:space="preserve"> </w:t>
      </w:r>
      <w:r>
        <w:rPr>
          <w:rStyle w:val="29"/>
          <w:rFonts w:hint="eastAsia" w:asciiTheme="minorEastAsia" w:hAnsiTheme="minorEastAsia" w:cstheme="minorEastAsia"/>
        </w:rPr>
        <w:t>评标办法（综合评估法）</w:t>
      </w:r>
      <w:r>
        <w:tab/>
      </w:r>
      <w:r>
        <w:fldChar w:fldCharType="begin"/>
      </w:r>
      <w:r>
        <w:instrText xml:space="preserve"> PAGEREF _Toc43907164 \h </w:instrText>
      </w:r>
      <w:r>
        <w:fldChar w:fldCharType="separate"/>
      </w:r>
      <w:r>
        <w:t>20</w:t>
      </w:r>
      <w:r>
        <w:fldChar w:fldCharType="end"/>
      </w:r>
      <w:r>
        <w:fldChar w:fldCharType="end"/>
      </w:r>
    </w:p>
    <w:p>
      <w:pPr>
        <w:pStyle w:val="14"/>
        <w:tabs>
          <w:tab w:val="right" w:leader="dot" w:pos="8296"/>
        </w:tabs>
      </w:pPr>
      <w:r>
        <w:fldChar w:fldCharType="begin"/>
      </w:r>
      <w:r>
        <w:instrText xml:space="preserve"> HYPERLINK \l "_Toc43907165" </w:instrText>
      </w:r>
      <w:r>
        <w:fldChar w:fldCharType="separate"/>
      </w:r>
      <w:r>
        <w:rPr>
          <w:rStyle w:val="29"/>
          <w:rFonts w:hint="eastAsia" w:asciiTheme="minorEastAsia" w:hAnsiTheme="minorEastAsia" w:cstheme="minorEastAsia"/>
        </w:rPr>
        <w:t>评标办法前附表</w:t>
      </w:r>
      <w:r>
        <w:tab/>
      </w:r>
      <w:r>
        <w:fldChar w:fldCharType="begin"/>
      </w:r>
      <w:r>
        <w:instrText xml:space="preserve"> PAGEREF _Toc43907165 \h </w:instrText>
      </w:r>
      <w:r>
        <w:fldChar w:fldCharType="separate"/>
      </w:r>
      <w:r>
        <w:t>20</w:t>
      </w:r>
      <w:r>
        <w:fldChar w:fldCharType="end"/>
      </w:r>
      <w:r>
        <w:fldChar w:fldCharType="end"/>
      </w:r>
    </w:p>
    <w:p>
      <w:pPr>
        <w:pStyle w:val="22"/>
        <w:tabs>
          <w:tab w:val="right" w:leader="dot" w:pos="8296"/>
        </w:tabs>
      </w:pPr>
      <w:r>
        <w:fldChar w:fldCharType="begin"/>
      </w:r>
      <w:r>
        <w:instrText xml:space="preserve"> HYPERLINK \l "_Toc43907166" </w:instrText>
      </w:r>
      <w:r>
        <w:fldChar w:fldCharType="separate"/>
      </w:r>
      <w:r>
        <w:rPr>
          <w:rStyle w:val="29"/>
          <w:rFonts w:cstheme="minorEastAsia"/>
        </w:rPr>
        <w:t>1.</w:t>
      </w:r>
      <w:r>
        <w:rPr>
          <w:rStyle w:val="29"/>
          <w:rFonts w:hint="eastAsia" w:cstheme="minorEastAsia"/>
        </w:rPr>
        <w:t>评标方法</w:t>
      </w:r>
      <w:r>
        <w:tab/>
      </w:r>
      <w:r>
        <w:fldChar w:fldCharType="begin"/>
      </w:r>
      <w:r>
        <w:instrText xml:space="preserve"> PAGEREF _Toc43907166 \h </w:instrText>
      </w:r>
      <w:r>
        <w:fldChar w:fldCharType="separate"/>
      </w:r>
      <w:r>
        <w:t>22</w:t>
      </w:r>
      <w:r>
        <w:fldChar w:fldCharType="end"/>
      </w:r>
      <w:r>
        <w:fldChar w:fldCharType="end"/>
      </w:r>
    </w:p>
    <w:p>
      <w:pPr>
        <w:pStyle w:val="22"/>
        <w:tabs>
          <w:tab w:val="right" w:leader="dot" w:pos="8296"/>
        </w:tabs>
      </w:pPr>
      <w:r>
        <w:fldChar w:fldCharType="begin"/>
      </w:r>
      <w:r>
        <w:instrText xml:space="preserve"> HYPERLINK \l "_Toc43907167" </w:instrText>
      </w:r>
      <w:r>
        <w:fldChar w:fldCharType="separate"/>
      </w:r>
      <w:r>
        <w:rPr>
          <w:rStyle w:val="29"/>
          <w:rFonts w:cstheme="minorEastAsia"/>
        </w:rPr>
        <w:t>2.</w:t>
      </w:r>
      <w:r>
        <w:rPr>
          <w:rStyle w:val="29"/>
          <w:rFonts w:hint="eastAsia" w:cstheme="minorEastAsia"/>
        </w:rPr>
        <w:t>评审标准</w:t>
      </w:r>
      <w:r>
        <w:tab/>
      </w:r>
      <w:r>
        <w:fldChar w:fldCharType="begin"/>
      </w:r>
      <w:r>
        <w:instrText xml:space="preserve"> PAGEREF _Toc43907167 \h </w:instrText>
      </w:r>
      <w:r>
        <w:fldChar w:fldCharType="separate"/>
      </w:r>
      <w:r>
        <w:t>22</w:t>
      </w:r>
      <w:r>
        <w:fldChar w:fldCharType="end"/>
      </w:r>
      <w:r>
        <w:fldChar w:fldCharType="end"/>
      </w:r>
    </w:p>
    <w:p>
      <w:pPr>
        <w:pStyle w:val="13"/>
        <w:tabs>
          <w:tab w:val="right" w:leader="dot" w:pos="8296"/>
        </w:tabs>
      </w:pPr>
      <w:r>
        <w:fldChar w:fldCharType="begin"/>
      </w:r>
      <w:r>
        <w:instrText xml:space="preserve"> HYPERLINK \l "_Toc43907168" </w:instrText>
      </w:r>
      <w:r>
        <w:fldChar w:fldCharType="separate"/>
      </w:r>
      <w:r>
        <w:rPr>
          <w:rStyle w:val="29"/>
          <w:rFonts w:cstheme="minorEastAsia"/>
        </w:rPr>
        <w:t>2.1</w:t>
      </w:r>
      <w:r>
        <w:rPr>
          <w:rStyle w:val="29"/>
          <w:rFonts w:hint="eastAsia" w:cstheme="minorEastAsia"/>
        </w:rPr>
        <w:t>初步评审标准</w:t>
      </w:r>
      <w:r>
        <w:tab/>
      </w:r>
      <w:r>
        <w:fldChar w:fldCharType="begin"/>
      </w:r>
      <w:r>
        <w:instrText xml:space="preserve"> PAGEREF _Toc43907168 \h </w:instrText>
      </w:r>
      <w:r>
        <w:fldChar w:fldCharType="separate"/>
      </w:r>
      <w:r>
        <w:t>22</w:t>
      </w:r>
      <w:r>
        <w:fldChar w:fldCharType="end"/>
      </w:r>
      <w:r>
        <w:fldChar w:fldCharType="end"/>
      </w:r>
    </w:p>
    <w:p>
      <w:pPr>
        <w:pStyle w:val="13"/>
        <w:tabs>
          <w:tab w:val="right" w:leader="dot" w:pos="8296"/>
        </w:tabs>
      </w:pPr>
      <w:r>
        <w:fldChar w:fldCharType="begin"/>
      </w:r>
      <w:r>
        <w:instrText xml:space="preserve"> HYPERLINK \l "_Toc43907169" </w:instrText>
      </w:r>
      <w:r>
        <w:fldChar w:fldCharType="separate"/>
      </w:r>
      <w:r>
        <w:rPr>
          <w:rStyle w:val="29"/>
          <w:rFonts w:cstheme="minorEastAsia"/>
        </w:rPr>
        <w:t>2.2</w:t>
      </w:r>
      <w:r>
        <w:rPr>
          <w:rStyle w:val="29"/>
          <w:rFonts w:hint="eastAsia" w:cstheme="minorEastAsia"/>
        </w:rPr>
        <w:t>分值构成与评分标准</w:t>
      </w:r>
      <w:r>
        <w:tab/>
      </w:r>
      <w:r>
        <w:fldChar w:fldCharType="begin"/>
      </w:r>
      <w:r>
        <w:instrText xml:space="preserve"> PAGEREF _Toc43907169 \h </w:instrText>
      </w:r>
      <w:r>
        <w:fldChar w:fldCharType="separate"/>
      </w:r>
      <w:r>
        <w:t>22</w:t>
      </w:r>
      <w:r>
        <w:fldChar w:fldCharType="end"/>
      </w:r>
      <w:r>
        <w:fldChar w:fldCharType="end"/>
      </w:r>
    </w:p>
    <w:p>
      <w:pPr>
        <w:pStyle w:val="22"/>
        <w:tabs>
          <w:tab w:val="right" w:leader="dot" w:pos="8296"/>
        </w:tabs>
      </w:pPr>
      <w:r>
        <w:fldChar w:fldCharType="begin"/>
      </w:r>
      <w:r>
        <w:instrText xml:space="preserve"> HYPERLINK \l "_Toc43907170" </w:instrText>
      </w:r>
      <w:r>
        <w:fldChar w:fldCharType="separate"/>
      </w:r>
      <w:r>
        <w:rPr>
          <w:rStyle w:val="29"/>
          <w:rFonts w:cstheme="minorEastAsia"/>
        </w:rPr>
        <w:t>3.</w:t>
      </w:r>
      <w:r>
        <w:rPr>
          <w:rStyle w:val="29"/>
          <w:rFonts w:hint="eastAsia" w:cstheme="minorEastAsia"/>
        </w:rPr>
        <w:t>评标程序</w:t>
      </w:r>
      <w:r>
        <w:tab/>
      </w:r>
      <w:r>
        <w:fldChar w:fldCharType="begin"/>
      </w:r>
      <w:r>
        <w:instrText xml:space="preserve"> PAGEREF _Toc43907170 \h </w:instrText>
      </w:r>
      <w:r>
        <w:fldChar w:fldCharType="separate"/>
      </w:r>
      <w:r>
        <w:t>23</w:t>
      </w:r>
      <w:r>
        <w:fldChar w:fldCharType="end"/>
      </w:r>
      <w:r>
        <w:fldChar w:fldCharType="end"/>
      </w:r>
    </w:p>
    <w:p>
      <w:pPr>
        <w:pStyle w:val="13"/>
        <w:tabs>
          <w:tab w:val="right" w:leader="dot" w:pos="8296"/>
        </w:tabs>
      </w:pPr>
      <w:r>
        <w:fldChar w:fldCharType="begin"/>
      </w:r>
      <w:r>
        <w:instrText xml:space="preserve"> HYPERLINK \l "_Toc43907171" </w:instrText>
      </w:r>
      <w:r>
        <w:fldChar w:fldCharType="separate"/>
      </w:r>
      <w:r>
        <w:rPr>
          <w:rStyle w:val="29"/>
          <w:rFonts w:cstheme="minorEastAsia"/>
        </w:rPr>
        <w:t>3.1</w:t>
      </w:r>
      <w:r>
        <w:rPr>
          <w:rStyle w:val="29"/>
          <w:rFonts w:hint="eastAsia" w:cstheme="minorEastAsia"/>
        </w:rPr>
        <w:t>初步评审</w:t>
      </w:r>
      <w:r>
        <w:tab/>
      </w:r>
      <w:r>
        <w:fldChar w:fldCharType="begin"/>
      </w:r>
      <w:r>
        <w:instrText xml:space="preserve"> PAGEREF _Toc43907171 \h </w:instrText>
      </w:r>
      <w:r>
        <w:fldChar w:fldCharType="separate"/>
      </w:r>
      <w:r>
        <w:t>23</w:t>
      </w:r>
      <w:r>
        <w:fldChar w:fldCharType="end"/>
      </w:r>
      <w:r>
        <w:fldChar w:fldCharType="end"/>
      </w:r>
    </w:p>
    <w:p>
      <w:pPr>
        <w:pStyle w:val="13"/>
        <w:tabs>
          <w:tab w:val="right" w:leader="dot" w:pos="8296"/>
        </w:tabs>
      </w:pPr>
      <w:r>
        <w:fldChar w:fldCharType="begin"/>
      </w:r>
      <w:r>
        <w:instrText xml:space="preserve"> HYPERLINK \l "_Toc43907172" </w:instrText>
      </w:r>
      <w:r>
        <w:fldChar w:fldCharType="separate"/>
      </w:r>
      <w:r>
        <w:rPr>
          <w:rStyle w:val="29"/>
          <w:rFonts w:cstheme="minorEastAsia"/>
        </w:rPr>
        <w:t>3.2</w:t>
      </w:r>
      <w:r>
        <w:rPr>
          <w:rStyle w:val="29"/>
          <w:rFonts w:hint="eastAsia" w:cstheme="minorEastAsia"/>
        </w:rPr>
        <w:t>详细评审</w:t>
      </w:r>
      <w:r>
        <w:tab/>
      </w:r>
      <w:r>
        <w:fldChar w:fldCharType="begin"/>
      </w:r>
      <w:r>
        <w:instrText xml:space="preserve"> PAGEREF _Toc43907172 \h </w:instrText>
      </w:r>
      <w:r>
        <w:fldChar w:fldCharType="separate"/>
      </w:r>
      <w:r>
        <w:t>23</w:t>
      </w:r>
      <w:r>
        <w:fldChar w:fldCharType="end"/>
      </w:r>
      <w:r>
        <w:fldChar w:fldCharType="end"/>
      </w:r>
    </w:p>
    <w:p>
      <w:pPr>
        <w:pStyle w:val="13"/>
        <w:tabs>
          <w:tab w:val="right" w:leader="dot" w:pos="8296"/>
        </w:tabs>
      </w:pPr>
      <w:r>
        <w:fldChar w:fldCharType="begin"/>
      </w:r>
      <w:r>
        <w:instrText xml:space="preserve"> HYPERLINK \l "_Toc43907173" </w:instrText>
      </w:r>
      <w:r>
        <w:fldChar w:fldCharType="separate"/>
      </w:r>
      <w:r>
        <w:rPr>
          <w:rStyle w:val="29"/>
          <w:rFonts w:cstheme="minorEastAsia"/>
        </w:rPr>
        <w:t>3.3</w:t>
      </w:r>
      <w:r>
        <w:rPr>
          <w:rStyle w:val="29"/>
          <w:rFonts w:hint="eastAsia" w:cstheme="minorEastAsia"/>
        </w:rPr>
        <w:t>投标文件的澄清</w:t>
      </w:r>
      <w:r>
        <w:tab/>
      </w:r>
      <w:r>
        <w:fldChar w:fldCharType="begin"/>
      </w:r>
      <w:r>
        <w:instrText xml:space="preserve"> PAGEREF _Toc43907173 \h </w:instrText>
      </w:r>
      <w:r>
        <w:fldChar w:fldCharType="separate"/>
      </w:r>
      <w:r>
        <w:t>24</w:t>
      </w:r>
      <w:r>
        <w:fldChar w:fldCharType="end"/>
      </w:r>
      <w:r>
        <w:fldChar w:fldCharType="end"/>
      </w:r>
    </w:p>
    <w:p>
      <w:pPr>
        <w:pStyle w:val="13"/>
        <w:tabs>
          <w:tab w:val="right" w:leader="dot" w:pos="8296"/>
        </w:tabs>
      </w:pPr>
      <w:r>
        <w:fldChar w:fldCharType="begin"/>
      </w:r>
      <w:r>
        <w:instrText xml:space="preserve"> HYPERLINK \l "_Toc43907174" </w:instrText>
      </w:r>
      <w:r>
        <w:fldChar w:fldCharType="separate"/>
      </w:r>
      <w:r>
        <w:rPr>
          <w:rStyle w:val="29"/>
          <w:rFonts w:cstheme="minorEastAsia"/>
        </w:rPr>
        <w:t>3.4</w:t>
      </w:r>
      <w:r>
        <w:rPr>
          <w:rStyle w:val="29"/>
          <w:rFonts w:hint="eastAsia" w:cstheme="minorEastAsia"/>
        </w:rPr>
        <w:t>评标结果</w:t>
      </w:r>
      <w:r>
        <w:tab/>
      </w:r>
      <w:r>
        <w:fldChar w:fldCharType="begin"/>
      </w:r>
      <w:r>
        <w:instrText xml:space="preserve"> PAGEREF _Toc43907174 \h </w:instrText>
      </w:r>
      <w:r>
        <w:fldChar w:fldCharType="separate"/>
      </w:r>
      <w:r>
        <w:t>24</w:t>
      </w:r>
      <w:r>
        <w:fldChar w:fldCharType="end"/>
      </w:r>
      <w:r>
        <w:fldChar w:fldCharType="end"/>
      </w:r>
    </w:p>
    <w:p>
      <w:pPr>
        <w:pStyle w:val="24"/>
        <w:tabs>
          <w:tab w:val="right" w:leader="dot" w:pos="8296"/>
        </w:tabs>
      </w:pPr>
      <w:r>
        <w:fldChar w:fldCharType="begin"/>
      </w:r>
      <w:r>
        <w:instrText xml:space="preserve"> HYPERLINK \l "_Toc43907175" </w:instrText>
      </w:r>
      <w:r>
        <w:fldChar w:fldCharType="separate"/>
      </w:r>
      <w:r>
        <w:rPr>
          <w:rStyle w:val="29"/>
          <w:rFonts w:hint="eastAsia" w:asciiTheme="minorEastAsia" w:hAnsiTheme="minorEastAsia" w:cstheme="minorEastAsia"/>
        </w:rPr>
        <w:t>第四章</w:t>
      </w:r>
      <w:r>
        <w:rPr>
          <w:rStyle w:val="29"/>
          <w:rFonts w:asciiTheme="minorEastAsia" w:hAnsiTheme="minorEastAsia" w:cstheme="minorEastAsia"/>
        </w:rPr>
        <w:t xml:space="preserve"> </w:t>
      </w:r>
      <w:r>
        <w:rPr>
          <w:rStyle w:val="29"/>
          <w:rFonts w:hint="eastAsia" w:asciiTheme="minorEastAsia" w:hAnsiTheme="minorEastAsia" w:cstheme="minorEastAsia"/>
        </w:rPr>
        <w:t>合同条款及格式</w:t>
      </w:r>
      <w:r>
        <w:tab/>
      </w:r>
      <w:r>
        <w:fldChar w:fldCharType="begin"/>
      </w:r>
      <w:r>
        <w:instrText xml:space="preserve"> PAGEREF _Toc43907175 \h </w:instrText>
      </w:r>
      <w:r>
        <w:fldChar w:fldCharType="separate"/>
      </w:r>
      <w:r>
        <w:t>25</w:t>
      </w:r>
      <w:r>
        <w:fldChar w:fldCharType="end"/>
      </w:r>
      <w:r>
        <w:fldChar w:fldCharType="end"/>
      </w:r>
    </w:p>
    <w:p>
      <w:pPr>
        <w:pStyle w:val="24"/>
        <w:tabs>
          <w:tab w:val="right" w:leader="dot" w:pos="8296"/>
        </w:tabs>
      </w:pPr>
      <w:r>
        <w:fldChar w:fldCharType="begin"/>
      </w:r>
      <w:r>
        <w:instrText xml:space="preserve"> HYPERLINK \l "_Toc43907176" </w:instrText>
      </w:r>
      <w:r>
        <w:fldChar w:fldCharType="separate"/>
      </w:r>
      <w:r>
        <w:rPr>
          <w:rStyle w:val="29"/>
          <w:rFonts w:hint="eastAsia" w:asciiTheme="minorEastAsia" w:hAnsiTheme="minorEastAsia" w:cstheme="minorEastAsia"/>
        </w:rPr>
        <w:t>第五章</w:t>
      </w:r>
      <w:r>
        <w:rPr>
          <w:rStyle w:val="29"/>
          <w:rFonts w:asciiTheme="minorEastAsia" w:hAnsiTheme="minorEastAsia" w:cstheme="minorEastAsia"/>
        </w:rPr>
        <w:t xml:space="preserve"> </w:t>
      </w:r>
      <w:r>
        <w:rPr>
          <w:rStyle w:val="29"/>
          <w:rFonts w:hint="eastAsia" w:asciiTheme="minorEastAsia" w:hAnsiTheme="minorEastAsia" w:cstheme="minorEastAsia"/>
        </w:rPr>
        <w:t>项目需求</w:t>
      </w:r>
      <w:r>
        <w:tab/>
      </w:r>
      <w:r>
        <w:fldChar w:fldCharType="begin"/>
      </w:r>
      <w:r>
        <w:instrText xml:space="preserve"> PAGEREF _Toc43907176 \h </w:instrText>
      </w:r>
      <w:r>
        <w:fldChar w:fldCharType="separate"/>
      </w:r>
      <w:r>
        <w:t>29</w:t>
      </w:r>
      <w:r>
        <w:fldChar w:fldCharType="end"/>
      </w:r>
      <w:r>
        <w:fldChar w:fldCharType="end"/>
      </w:r>
    </w:p>
    <w:p>
      <w:pPr>
        <w:pStyle w:val="24"/>
        <w:tabs>
          <w:tab w:val="right" w:leader="dot" w:pos="8296"/>
        </w:tabs>
      </w:pPr>
      <w:r>
        <w:fldChar w:fldCharType="begin"/>
      </w:r>
      <w:r>
        <w:instrText xml:space="preserve"> HYPERLINK \l "_Toc43907177" </w:instrText>
      </w:r>
      <w:r>
        <w:fldChar w:fldCharType="separate"/>
      </w:r>
      <w:r>
        <w:rPr>
          <w:rStyle w:val="29"/>
          <w:rFonts w:hint="eastAsia" w:asciiTheme="minorEastAsia" w:hAnsiTheme="minorEastAsia" w:cstheme="minorEastAsia"/>
        </w:rPr>
        <w:t>第六章</w:t>
      </w:r>
      <w:r>
        <w:rPr>
          <w:rStyle w:val="29"/>
          <w:rFonts w:asciiTheme="minorEastAsia" w:hAnsiTheme="minorEastAsia" w:cstheme="minorEastAsia"/>
        </w:rPr>
        <w:t xml:space="preserve"> </w:t>
      </w:r>
      <w:r>
        <w:rPr>
          <w:rStyle w:val="29"/>
          <w:rFonts w:hint="eastAsia" w:asciiTheme="minorEastAsia" w:hAnsiTheme="minorEastAsia" w:cstheme="minorEastAsia"/>
        </w:rPr>
        <w:t>投标文件格式</w:t>
      </w:r>
      <w:r>
        <w:tab/>
      </w:r>
      <w:r>
        <w:fldChar w:fldCharType="begin"/>
      </w:r>
      <w:r>
        <w:instrText xml:space="preserve"> PAGEREF _Toc43907177 \h </w:instrText>
      </w:r>
      <w:r>
        <w:fldChar w:fldCharType="separate"/>
      </w:r>
      <w:r>
        <w:t>34</w:t>
      </w:r>
      <w:r>
        <w:fldChar w:fldCharType="end"/>
      </w:r>
      <w:r>
        <w:fldChar w:fldCharType="end"/>
      </w:r>
    </w:p>
    <w:p>
      <w:pPr>
        <w:pStyle w:val="22"/>
        <w:tabs>
          <w:tab w:val="right" w:leader="dot" w:pos="8296"/>
        </w:tabs>
      </w:pPr>
      <w:r>
        <w:fldChar w:fldCharType="begin"/>
      </w:r>
      <w:r>
        <w:instrText xml:space="preserve"> HYPERLINK \l "_Toc43907178" </w:instrText>
      </w:r>
      <w:r>
        <w:fldChar w:fldCharType="separate"/>
      </w:r>
      <w:r>
        <w:rPr>
          <w:rStyle w:val="29"/>
          <w:rFonts w:hint="eastAsia" w:cstheme="minorEastAsia"/>
        </w:rPr>
        <w:t>封面</w:t>
      </w:r>
      <w:r>
        <w:tab/>
      </w:r>
      <w:r>
        <w:fldChar w:fldCharType="begin"/>
      </w:r>
      <w:r>
        <w:instrText xml:space="preserve"> PAGEREF _Toc43907178 \h </w:instrText>
      </w:r>
      <w:r>
        <w:fldChar w:fldCharType="separate"/>
      </w:r>
      <w:r>
        <w:t>34</w:t>
      </w:r>
      <w:r>
        <w:fldChar w:fldCharType="end"/>
      </w:r>
      <w:r>
        <w:fldChar w:fldCharType="end"/>
      </w:r>
    </w:p>
    <w:p>
      <w:pPr>
        <w:pStyle w:val="22"/>
        <w:tabs>
          <w:tab w:val="right" w:leader="dot" w:pos="8296"/>
        </w:tabs>
      </w:pPr>
      <w:r>
        <w:fldChar w:fldCharType="begin"/>
      </w:r>
      <w:r>
        <w:instrText xml:space="preserve"> HYPERLINK \l "_Toc43907179" </w:instrText>
      </w:r>
      <w:r>
        <w:fldChar w:fldCharType="separate"/>
      </w:r>
      <w:r>
        <w:rPr>
          <w:rStyle w:val="29"/>
          <w:rFonts w:hint="eastAsia" w:cstheme="minorEastAsia"/>
        </w:rPr>
        <w:t>目录</w:t>
      </w:r>
      <w:r>
        <w:tab/>
      </w:r>
      <w:r>
        <w:fldChar w:fldCharType="begin"/>
      </w:r>
      <w:r>
        <w:instrText xml:space="preserve"> PAGEREF _Toc43907179 \h </w:instrText>
      </w:r>
      <w:r>
        <w:fldChar w:fldCharType="separate"/>
      </w:r>
      <w:r>
        <w:t>37</w:t>
      </w:r>
      <w:r>
        <w:fldChar w:fldCharType="end"/>
      </w:r>
      <w:r>
        <w:fldChar w:fldCharType="end"/>
      </w:r>
    </w:p>
    <w:p>
      <w:pPr>
        <w:pStyle w:val="22"/>
        <w:tabs>
          <w:tab w:val="right" w:leader="dot" w:pos="8296"/>
        </w:tabs>
      </w:pPr>
      <w:r>
        <w:fldChar w:fldCharType="begin"/>
      </w:r>
      <w:r>
        <w:instrText xml:space="preserve"> HYPERLINK \l "_Toc43907180" </w:instrText>
      </w:r>
      <w:r>
        <w:fldChar w:fldCharType="separate"/>
      </w:r>
      <w:r>
        <w:rPr>
          <w:rStyle w:val="29"/>
          <w:rFonts w:hint="eastAsia" w:cstheme="minorEastAsia"/>
        </w:rPr>
        <w:t>一、投标函</w:t>
      </w:r>
      <w:r>
        <w:tab/>
      </w:r>
      <w:r>
        <w:fldChar w:fldCharType="begin"/>
      </w:r>
      <w:r>
        <w:instrText xml:space="preserve"> PAGEREF _Toc43907180 \h </w:instrText>
      </w:r>
      <w:r>
        <w:fldChar w:fldCharType="separate"/>
      </w:r>
      <w:r>
        <w:t>38</w:t>
      </w:r>
      <w:r>
        <w:fldChar w:fldCharType="end"/>
      </w:r>
      <w:r>
        <w:fldChar w:fldCharType="end"/>
      </w:r>
    </w:p>
    <w:p>
      <w:pPr>
        <w:pStyle w:val="22"/>
        <w:tabs>
          <w:tab w:val="right" w:leader="dot" w:pos="8296"/>
        </w:tabs>
      </w:pPr>
      <w:r>
        <w:fldChar w:fldCharType="begin"/>
      </w:r>
      <w:r>
        <w:instrText xml:space="preserve"> HYPERLINK \l "_Toc43907181" </w:instrText>
      </w:r>
      <w:r>
        <w:fldChar w:fldCharType="separate"/>
      </w:r>
      <w:r>
        <w:rPr>
          <w:rStyle w:val="29"/>
          <w:rFonts w:hint="eastAsia" w:cstheme="minorEastAsia"/>
        </w:rPr>
        <w:t>二、法定代表人（单位负责人）身份证明</w:t>
      </w:r>
      <w:r>
        <w:tab/>
      </w:r>
      <w:r>
        <w:fldChar w:fldCharType="begin"/>
      </w:r>
      <w:r>
        <w:instrText xml:space="preserve"> PAGEREF _Toc43907181 \h </w:instrText>
      </w:r>
      <w:r>
        <w:fldChar w:fldCharType="separate"/>
      </w:r>
      <w:r>
        <w:t>40</w:t>
      </w:r>
      <w:r>
        <w:fldChar w:fldCharType="end"/>
      </w:r>
      <w:r>
        <w:fldChar w:fldCharType="end"/>
      </w:r>
    </w:p>
    <w:p>
      <w:pPr>
        <w:pStyle w:val="22"/>
        <w:tabs>
          <w:tab w:val="right" w:leader="dot" w:pos="8296"/>
        </w:tabs>
      </w:pPr>
      <w:r>
        <w:fldChar w:fldCharType="begin"/>
      </w:r>
      <w:r>
        <w:instrText xml:space="preserve"> HYPERLINK \l "_Toc43907182" </w:instrText>
      </w:r>
      <w:r>
        <w:fldChar w:fldCharType="separate"/>
      </w:r>
      <w:r>
        <w:rPr>
          <w:rStyle w:val="29"/>
          <w:rFonts w:hint="eastAsia" w:cstheme="minorEastAsia"/>
        </w:rPr>
        <w:t>三、授权委托书</w:t>
      </w:r>
      <w:r>
        <w:tab/>
      </w:r>
      <w:r>
        <w:fldChar w:fldCharType="begin"/>
      </w:r>
      <w:r>
        <w:instrText xml:space="preserve"> PAGEREF _Toc43907182 \h </w:instrText>
      </w:r>
      <w:r>
        <w:fldChar w:fldCharType="separate"/>
      </w:r>
      <w:r>
        <w:t>41</w:t>
      </w:r>
      <w:r>
        <w:fldChar w:fldCharType="end"/>
      </w:r>
      <w:r>
        <w:fldChar w:fldCharType="end"/>
      </w:r>
    </w:p>
    <w:p>
      <w:pPr>
        <w:pStyle w:val="22"/>
        <w:tabs>
          <w:tab w:val="right" w:leader="dot" w:pos="8296"/>
        </w:tabs>
      </w:pPr>
      <w:r>
        <w:fldChar w:fldCharType="begin"/>
      </w:r>
      <w:r>
        <w:instrText xml:space="preserve"> HYPERLINK \l "_Toc43907183" </w:instrText>
      </w:r>
      <w:r>
        <w:fldChar w:fldCharType="separate"/>
      </w:r>
      <w:r>
        <w:rPr>
          <w:rStyle w:val="29"/>
          <w:rFonts w:hint="eastAsia" w:cstheme="minorEastAsia"/>
        </w:rPr>
        <w:t>五、报价表</w:t>
      </w:r>
      <w:r>
        <w:tab/>
      </w:r>
      <w:r>
        <w:fldChar w:fldCharType="begin"/>
      </w:r>
      <w:r>
        <w:instrText xml:space="preserve"> PAGEREF _Toc43907183 \h </w:instrText>
      </w:r>
      <w:r>
        <w:fldChar w:fldCharType="separate"/>
      </w:r>
      <w:r>
        <w:t>43</w:t>
      </w:r>
      <w:r>
        <w:fldChar w:fldCharType="end"/>
      </w:r>
      <w:r>
        <w:fldChar w:fldCharType="end"/>
      </w:r>
    </w:p>
    <w:p>
      <w:pPr>
        <w:pStyle w:val="22"/>
        <w:tabs>
          <w:tab w:val="right" w:leader="dot" w:pos="8296"/>
        </w:tabs>
      </w:pPr>
      <w:r>
        <w:fldChar w:fldCharType="begin"/>
      </w:r>
      <w:r>
        <w:instrText xml:space="preserve"> HYPERLINK \l "_Toc43907184" </w:instrText>
      </w:r>
      <w:r>
        <w:fldChar w:fldCharType="separate"/>
      </w:r>
      <w:r>
        <w:rPr>
          <w:rStyle w:val="29"/>
          <w:rFonts w:hint="eastAsia" w:cstheme="minorEastAsia"/>
        </w:rPr>
        <w:t>六、资格审查资料</w:t>
      </w:r>
      <w:r>
        <w:tab/>
      </w:r>
      <w:r>
        <w:fldChar w:fldCharType="begin"/>
      </w:r>
      <w:r>
        <w:instrText xml:space="preserve"> PAGEREF _Toc43907184 \h </w:instrText>
      </w:r>
      <w:r>
        <w:fldChar w:fldCharType="separate"/>
      </w:r>
      <w:r>
        <w:t>44</w:t>
      </w:r>
      <w:r>
        <w:fldChar w:fldCharType="end"/>
      </w:r>
      <w:r>
        <w:fldChar w:fldCharType="end"/>
      </w:r>
    </w:p>
    <w:p>
      <w:pPr>
        <w:pStyle w:val="13"/>
        <w:tabs>
          <w:tab w:val="right" w:leader="dot" w:pos="8296"/>
        </w:tabs>
      </w:pPr>
      <w:r>
        <w:fldChar w:fldCharType="begin"/>
      </w:r>
      <w:r>
        <w:instrText xml:space="preserve"> HYPERLINK \l "_Toc43907185" </w:instrText>
      </w:r>
      <w:r>
        <w:fldChar w:fldCharType="separate"/>
      </w:r>
      <w:r>
        <w:rPr>
          <w:rStyle w:val="29"/>
          <w:rFonts w:hint="eastAsia" w:cstheme="minorEastAsia"/>
        </w:rPr>
        <w:t>（一）基本情况表</w:t>
      </w:r>
      <w:r>
        <w:tab/>
      </w:r>
      <w:r>
        <w:fldChar w:fldCharType="begin"/>
      </w:r>
      <w:r>
        <w:instrText xml:space="preserve"> PAGEREF _Toc43907185 \h </w:instrText>
      </w:r>
      <w:r>
        <w:fldChar w:fldCharType="separate"/>
      </w:r>
      <w:r>
        <w:t>44</w:t>
      </w:r>
      <w:r>
        <w:fldChar w:fldCharType="end"/>
      </w:r>
      <w:r>
        <w:fldChar w:fldCharType="end"/>
      </w:r>
    </w:p>
    <w:p>
      <w:pPr>
        <w:pStyle w:val="13"/>
        <w:tabs>
          <w:tab w:val="right" w:leader="dot" w:pos="8296"/>
        </w:tabs>
      </w:pPr>
      <w:r>
        <w:fldChar w:fldCharType="begin"/>
      </w:r>
      <w:r>
        <w:instrText xml:space="preserve"> HYPERLINK \l "_Toc43907186" </w:instrText>
      </w:r>
      <w:r>
        <w:fldChar w:fldCharType="separate"/>
      </w:r>
      <w:r>
        <w:rPr>
          <w:rStyle w:val="29"/>
          <w:rFonts w:hint="eastAsia" w:cstheme="minorEastAsia"/>
        </w:rPr>
        <w:t>（二）法人资格证明</w:t>
      </w:r>
      <w:r>
        <w:tab/>
      </w:r>
      <w:r>
        <w:fldChar w:fldCharType="begin"/>
      </w:r>
      <w:r>
        <w:instrText xml:space="preserve"> PAGEREF _Toc43907186 \h </w:instrText>
      </w:r>
      <w:r>
        <w:fldChar w:fldCharType="separate"/>
      </w:r>
      <w:r>
        <w:t>45</w:t>
      </w:r>
      <w:r>
        <w:fldChar w:fldCharType="end"/>
      </w:r>
      <w:r>
        <w:fldChar w:fldCharType="end"/>
      </w:r>
    </w:p>
    <w:p>
      <w:pPr>
        <w:pStyle w:val="13"/>
        <w:tabs>
          <w:tab w:val="right" w:leader="dot" w:pos="8296"/>
        </w:tabs>
      </w:pPr>
      <w:r>
        <w:fldChar w:fldCharType="begin"/>
      </w:r>
      <w:r>
        <w:instrText xml:space="preserve"> HYPERLINK \l "_Toc43907187" </w:instrText>
      </w:r>
      <w:r>
        <w:fldChar w:fldCharType="separate"/>
      </w:r>
      <w:r>
        <w:rPr>
          <w:rStyle w:val="29"/>
          <w:rFonts w:hint="eastAsia" w:cstheme="minorEastAsia"/>
        </w:rPr>
        <w:t>（三）近年财务状况表</w:t>
      </w:r>
      <w:r>
        <w:tab/>
      </w:r>
      <w:r>
        <w:fldChar w:fldCharType="begin"/>
      </w:r>
      <w:r>
        <w:instrText xml:space="preserve"> PAGEREF _Toc43907187 \h </w:instrText>
      </w:r>
      <w:r>
        <w:fldChar w:fldCharType="separate"/>
      </w:r>
      <w:r>
        <w:t>46</w:t>
      </w:r>
      <w:r>
        <w:fldChar w:fldCharType="end"/>
      </w:r>
      <w:r>
        <w:fldChar w:fldCharType="end"/>
      </w:r>
    </w:p>
    <w:p>
      <w:pPr>
        <w:pStyle w:val="22"/>
        <w:tabs>
          <w:tab w:val="right" w:leader="dot" w:pos="8296"/>
        </w:tabs>
      </w:pPr>
      <w:r>
        <w:fldChar w:fldCharType="begin"/>
      </w:r>
      <w:r>
        <w:instrText xml:space="preserve"> HYPERLINK \l "_Toc43907188" </w:instrText>
      </w:r>
      <w:r>
        <w:fldChar w:fldCharType="separate"/>
      </w:r>
      <w:r>
        <w:rPr>
          <w:rStyle w:val="29"/>
          <w:rFonts w:hint="eastAsia" w:cstheme="minorEastAsia"/>
        </w:rPr>
        <w:t>七、近年完成的类似项目情况表</w:t>
      </w:r>
      <w:r>
        <w:tab/>
      </w:r>
      <w:r>
        <w:fldChar w:fldCharType="begin"/>
      </w:r>
      <w:r>
        <w:instrText xml:space="preserve"> PAGEREF _Toc43907188 \h </w:instrText>
      </w:r>
      <w:r>
        <w:fldChar w:fldCharType="separate"/>
      </w:r>
      <w:r>
        <w:t>47</w:t>
      </w:r>
      <w:r>
        <w:fldChar w:fldCharType="end"/>
      </w:r>
      <w:r>
        <w:fldChar w:fldCharType="end"/>
      </w:r>
    </w:p>
    <w:p>
      <w:pPr>
        <w:pStyle w:val="22"/>
        <w:tabs>
          <w:tab w:val="right" w:leader="dot" w:pos="8296"/>
        </w:tabs>
      </w:pPr>
      <w:r>
        <w:fldChar w:fldCharType="begin"/>
      </w:r>
      <w:r>
        <w:instrText xml:space="preserve"> HYPERLINK \l "_Toc43907189" </w:instrText>
      </w:r>
      <w:r>
        <w:fldChar w:fldCharType="separate"/>
      </w:r>
      <w:r>
        <w:rPr>
          <w:rStyle w:val="29"/>
          <w:rFonts w:hint="eastAsia" w:cstheme="minorEastAsia"/>
        </w:rPr>
        <w:t>八、技术支持资料</w:t>
      </w:r>
      <w:r>
        <w:tab/>
      </w:r>
      <w:r>
        <w:fldChar w:fldCharType="begin"/>
      </w:r>
      <w:r>
        <w:instrText xml:space="preserve"> PAGEREF _Toc43907189 \h </w:instrText>
      </w:r>
      <w:r>
        <w:fldChar w:fldCharType="separate"/>
      </w:r>
      <w:r>
        <w:t>48</w:t>
      </w:r>
      <w:r>
        <w:fldChar w:fldCharType="end"/>
      </w:r>
      <w:r>
        <w:fldChar w:fldCharType="end"/>
      </w:r>
    </w:p>
    <w:p>
      <w:pPr>
        <w:pStyle w:val="22"/>
        <w:tabs>
          <w:tab w:val="right" w:leader="dot" w:pos="8296"/>
        </w:tabs>
      </w:pPr>
      <w:r>
        <w:fldChar w:fldCharType="begin"/>
      </w:r>
      <w:r>
        <w:instrText xml:space="preserve"> HYPERLINK \l "_Toc43907190" </w:instrText>
      </w:r>
      <w:r>
        <w:fldChar w:fldCharType="separate"/>
      </w:r>
      <w:r>
        <w:rPr>
          <w:rStyle w:val="29"/>
          <w:rFonts w:hint="eastAsia" w:cstheme="minorEastAsia"/>
        </w:rPr>
        <w:t>九、技术服务和质保期服务计划</w:t>
      </w:r>
      <w:r>
        <w:tab/>
      </w:r>
      <w:r>
        <w:fldChar w:fldCharType="begin"/>
      </w:r>
      <w:r>
        <w:instrText xml:space="preserve"> PAGEREF _Toc43907190 \h </w:instrText>
      </w:r>
      <w:r>
        <w:fldChar w:fldCharType="separate"/>
      </w:r>
      <w:r>
        <w:t>49</w:t>
      </w:r>
      <w:r>
        <w:fldChar w:fldCharType="end"/>
      </w:r>
      <w:r>
        <w:fldChar w:fldCharType="end"/>
      </w:r>
    </w:p>
    <w:p>
      <w:pPr>
        <w:pStyle w:val="22"/>
        <w:tabs>
          <w:tab w:val="right" w:leader="dot" w:pos="8296"/>
        </w:tabs>
      </w:pPr>
      <w:r>
        <w:fldChar w:fldCharType="begin"/>
      </w:r>
      <w:r>
        <w:instrText xml:space="preserve"> HYPERLINK \l "_Toc43907191" </w:instrText>
      </w:r>
      <w:r>
        <w:fldChar w:fldCharType="separate"/>
      </w:r>
      <w:r>
        <w:rPr>
          <w:rStyle w:val="29"/>
          <w:rFonts w:hint="eastAsia" w:cstheme="minorEastAsia"/>
        </w:rPr>
        <w:t>十、其他资料</w:t>
      </w:r>
      <w:r>
        <w:tab/>
      </w:r>
      <w:r>
        <w:fldChar w:fldCharType="begin"/>
      </w:r>
      <w:r>
        <w:instrText xml:space="preserve"> PAGEREF _Toc43907191 \h </w:instrText>
      </w:r>
      <w:r>
        <w:fldChar w:fldCharType="separate"/>
      </w:r>
      <w:r>
        <w:t>50</w:t>
      </w:r>
      <w:r>
        <w:fldChar w:fldCharType="end"/>
      </w:r>
      <w:r>
        <w:fldChar w:fldCharType="end"/>
      </w:r>
    </w:p>
    <w:p>
      <w:pPr>
        <w:pStyle w:val="13"/>
        <w:tabs>
          <w:tab w:val="right" w:leader="dot" w:pos="8296"/>
        </w:tabs>
      </w:pPr>
      <w:r>
        <w:fldChar w:fldCharType="begin"/>
      </w:r>
      <w:r>
        <w:instrText xml:space="preserve"> HYPERLINK \l "_Toc43907192" </w:instrText>
      </w:r>
      <w:r>
        <w:fldChar w:fldCharType="separate"/>
      </w:r>
      <w:r>
        <w:rPr>
          <w:rStyle w:val="29"/>
          <w:rFonts w:hint="eastAsia" w:cstheme="minorEastAsia"/>
        </w:rPr>
        <w:t>（一）承诺书</w:t>
      </w:r>
      <w:r>
        <w:tab/>
      </w:r>
      <w:r>
        <w:fldChar w:fldCharType="begin"/>
      </w:r>
      <w:r>
        <w:instrText xml:space="preserve"> PAGEREF _Toc43907192 \h </w:instrText>
      </w:r>
      <w:r>
        <w:fldChar w:fldCharType="separate"/>
      </w:r>
      <w:r>
        <w:t>50</w:t>
      </w:r>
      <w:r>
        <w:fldChar w:fldCharType="end"/>
      </w:r>
      <w:r>
        <w:fldChar w:fldCharType="end"/>
      </w:r>
    </w:p>
    <w:p>
      <w:pPr>
        <w:pStyle w:val="13"/>
        <w:tabs>
          <w:tab w:val="right" w:leader="dot" w:pos="8296"/>
        </w:tabs>
      </w:pPr>
      <w:r>
        <w:fldChar w:fldCharType="begin"/>
      </w:r>
      <w:r>
        <w:instrText xml:space="preserve"> HYPERLINK \l "_Toc43907193" </w:instrText>
      </w:r>
      <w:r>
        <w:fldChar w:fldCharType="separate"/>
      </w:r>
      <w:r>
        <w:rPr>
          <w:rStyle w:val="29"/>
          <w:rFonts w:hint="eastAsia" w:cstheme="minorEastAsia"/>
        </w:rPr>
        <w:t>（二）开户许可证（基本账户）</w:t>
      </w:r>
      <w:r>
        <w:tab/>
      </w:r>
      <w:r>
        <w:fldChar w:fldCharType="begin"/>
      </w:r>
      <w:r>
        <w:instrText xml:space="preserve"> PAGEREF _Toc43907193 \h </w:instrText>
      </w:r>
      <w:r>
        <w:fldChar w:fldCharType="separate"/>
      </w:r>
      <w:r>
        <w:t>50</w:t>
      </w:r>
      <w:r>
        <w:fldChar w:fldCharType="end"/>
      </w:r>
      <w:r>
        <w:fldChar w:fldCharType="end"/>
      </w:r>
    </w:p>
    <w:p>
      <w:pPr>
        <w:pStyle w:val="13"/>
        <w:tabs>
          <w:tab w:val="right" w:leader="dot" w:pos="8296"/>
        </w:tabs>
      </w:pPr>
      <w:r>
        <w:fldChar w:fldCharType="begin"/>
      </w:r>
      <w:r>
        <w:instrText xml:space="preserve"> HYPERLINK \l "_Toc43907194" </w:instrText>
      </w:r>
      <w:r>
        <w:fldChar w:fldCharType="separate"/>
      </w:r>
      <w:r>
        <w:rPr>
          <w:rStyle w:val="29"/>
          <w:rFonts w:hint="eastAsia" w:cstheme="minorEastAsia"/>
        </w:rPr>
        <w:t>（三）其他</w:t>
      </w:r>
      <w:r>
        <w:tab/>
      </w:r>
      <w:r>
        <w:fldChar w:fldCharType="begin"/>
      </w:r>
      <w:r>
        <w:instrText xml:space="preserve"> PAGEREF _Toc43907194 \h </w:instrText>
      </w:r>
      <w:r>
        <w:fldChar w:fldCharType="separate"/>
      </w:r>
      <w:r>
        <w:t>51</w:t>
      </w:r>
      <w:r>
        <w:fldChar w:fldCharType="end"/>
      </w:r>
      <w:r>
        <w:fldChar w:fldCharType="end"/>
      </w:r>
    </w:p>
    <w:p>
      <w:pPr>
        <w:snapToGrid w:val="0"/>
        <w:rPr>
          <w:rFonts w:asciiTheme="minorEastAsia" w:hAnsiTheme="minorEastAsia" w:cstheme="minorEastAsia"/>
        </w:rPr>
      </w:pPr>
      <w:r>
        <w:rPr>
          <w:rFonts w:hint="eastAsia" w:asciiTheme="minorEastAsia" w:hAnsiTheme="minorEastAsia" w:cstheme="minorEastAsia"/>
        </w:rPr>
        <w:fldChar w:fldCharType="end"/>
      </w:r>
    </w:p>
    <w:p>
      <w:pPr>
        <w:snapToGrid w:val="0"/>
        <w:rPr>
          <w:rFonts w:asciiTheme="minorEastAsia" w:hAnsiTheme="minorEastAsia" w:cstheme="minorEastAsia"/>
        </w:rPr>
      </w:pPr>
    </w:p>
    <w:p>
      <w:pPr>
        <w:snapToGrid w:val="0"/>
        <w:rPr>
          <w:rFonts w:asciiTheme="minorEastAsia" w:hAnsiTheme="minorEastAsia" w:cstheme="minorEastAsia"/>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lowerRoman" w:start="1"/>
          <w:cols w:space="425" w:num="1"/>
          <w:docGrid w:type="lines" w:linePitch="312" w:charSpace="0"/>
        </w:sectPr>
      </w:pPr>
    </w:p>
    <w:p>
      <w:pPr>
        <w:pStyle w:val="4"/>
        <w:snapToGrid w:val="0"/>
        <w:spacing w:before="0" w:after="0" w:line="360" w:lineRule="auto"/>
        <w:rPr>
          <w:rFonts w:asciiTheme="minorEastAsia" w:hAnsiTheme="minorEastAsia" w:eastAsiaTheme="minorEastAsia" w:cstheme="minorEastAsia"/>
        </w:rPr>
      </w:pPr>
      <w:bookmarkStart w:id="0" w:name="_Toc43907101"/>
      <w:r>
        <w:rPr>
          <w:rFonts w:hint="eastAsia" w:asciiTheme="minorEastAsia" w:hAnsiTheme="minorEastAsia" w:eastAsiaTheme="minorEastAsia" w:cstheme="minorEastAsia"/>
        </w:rPr>
        <w:t>第一章 招标公告</w:t>
      </w:r>
      <w:bookmarkEnd w:id="0"/>
    </w:p>
    <w:p>
      <w:pPr>
        <w:snapToGrid w:val="0"/>
        <w:spacing w:line="360" w:lineRule="auto"/>
        <w:ind w:firstLine="0" w:firstLineChars="0"/>
        <w:jc w:val="center"/>
        <w:rPr>
          <w:rFonts w:hint="eastAsia" w:asciiTheme="minorEastAsia" w:hAnsiTheme="minorEastAsia" w:cstheme="minorEastAsia"/>
          <w:szCs w:val="21"/>
          <w:highlight w:val="none"/>
        </w:rPr>
      </w:pPr>
      <w:bookmarkStart w:id="1" w:name="_Toc30029"/>
      <w:r>
        <w:rPr>
          <w:rFonts w:hint="eastAsia" w:asciiTheme="minorEastAsia" w:hAnsiTheme="minorEastAsia" w:cstheme="minorEastAsia"/>
          <w:bCs/>
          <w:szCs w:val="21"/>
        </w:rPr>
        <w:t>扬州市民卡</w:t>
      </w:r>
      <w:r>
        <w:rPr>
          <w:rFonts w:hint="eastAsia" w:asciiTheme="minorEastAsia" w:hAnsiTheme="minorEastAsia" w:cstheme="minorEastAsia"/>
          <w:bCs/>
          <w:szCs w:val="21"/>
          <w:highlight w:val="none"/>
        </w:rPr>
        <w:t>“扬州公用事业缴费中心系统建设”</w:t>
      </w:r>
      <w:r>
        <w:rPr>
          <w:rFonts w:hint="eastAsia" w:asciiTheme="minorEastAsia" w:hAnsiTheme="minorEastAsia" w:cstheme="minorEastAsia"/>
          <w:szCs w:val="21"/>
          <w:highlight w:val="none"/>
        </w:rPr>
        <w:t>云计算环境升级及服务招标公告</w:t>
      </w:r>
    </w:p>
    <w:p>
      <w:pPr>
        <w:pStyle w:val="2"/>
        <w:jc w:val="center"/>
        <w:rPr>
          <w:rFonts w:hint="eastAsia" w:asciiTheme="minorEastAsia" w:hAnsiTheme="minorEastAsia" w:eastAsiaTheme="minorEastAsia" w:cstheme="minorEastAsia"/>
          <w:bCs/>
          <w:kern w:val="2"/>
          <w:sz w:val="21"/>
          <w:szCs w:val="21"/>
          <w:highlight w:val="none"/>
          <w:lang w:val="en-US" w:eastAsia="zh-CN" w:bidi="ar-SA"/>
        </w:rPr>
      </w:pPr>
      <w:r>
        <w:rPr>
          <w:rFonts w:hint="eastAsia" w:asciiTheme="minorEastAsia" w:hAnsiTheme="minorEastAsia" w:cstheme="minorEastAsia"/>
          <w:bCs/>
          <w:kern w:val="2"/>
          <w:sz w:val="21"/>
          <w:szCs w:val="21"/>
          <w:highlight w:val="none"/>
          <w:lang w:val="en-US" w:eastAsia="zh-CN" w:bidi="ar-SA"/>
        </w:rPr>
        <w:t>（</w:t>
      </w:r>
      <w:r>
        <w:rPr>
          <w:rFonts w:hint="eastAsia" w:asciiTheme="minorEastAsia" w:hAnsiTheme="minorEastAsia" w:eastAsiaTheme="minorEastAsia" w:cstheme="minorEastAsia"/>
          <w:bCs/>
          <w:kern w:val="2"/>
          <w:sz w:val="21"/>
          <w:szCs w:val="21"/>
          <w:highlight w:val="none"/>
          <w:lang w:val="en-US" w:eastAsia="zh-CN" w:bidi="ar-SA"/>
        </w:rPr>
        <w:t>项目编号</w:t>
      </w:r>
      <w:r>
        <w:rPr>
          <w:rFonts w:hint="eastAsia" w:asciiTheme="minorEastAsia" w:hAnsiTheme="minorEastAsia" w:cstheme="minorEastAsia"/>
          <w:bCs/>
          <w:kern w:val="2"/>
          <w:sz w:val="21"/>
          <w:szCs w:val="21"/>
          <w:highlight w:val="none"/>
          <w:lang w:val="en-US" w:eastAsia="zh-CN" w:bidi="ar-SA"/>
        </w:rPr>
        <w:t>：</w:t>
      </w:r>
      <w:r>
        <w:rPr>
          <w:rFonts w:hint="eastAsia" w:asciiTheme="minorEastAsia" w:hAnsiTheme="minorEastAsia" w:eastAsiaTheme="minorEastAsia" w:cstheme="minorEastAsia"/>
          <w:bCs/>
          <w:kern w:val="2"/>
          <w:sz w:val="21"/>
          <w:szCs w:val="21"/>
          <w:highlight w:val="none"/>
          <w:lang w:val="en-US" w:eastAsia="zh-CN" w:bidi="ar-SA"/>
        </w:rPr>
        <w:t>SMK-ZB-2020-001</w:t>
      </w:r>
      <w:r>
        <w:rPr>
          <w:rFonts w:hint="eastAsia" w:asciiTheme="minorEastAsia" w:hAnsiTheme="minorEastAsia" w:cstheme="minorEastAsia"/>
          <w:bCs/>
          <w:kern w:val="2"/>
          <w:sz w:val="21"/>
          <w:szCs w:val="21"/>
          <w:highlight w:val="none"/>
          <w:lang w:val="en-US" w:eastAsia="zh-CN" w:bidi="ar-SA"/>
        </w:rPr>
        <w:t>）</w:t>
      </w:r>
    </w:p>
    <w:p>
      <w:pPr>
        <w:pStyle w:val="2"/>
        <w:rPr>
          <w:rFonts w:hint="eastAsia" w:asciiTheme="minorEastAsia" w:hAnsiTheme="minorEastAsia" w:eastAsiaTheme="minorEastAsia" w:cstheme="minorEastAsia"/>
          <w:bCs/>
          <w:kern w:val="2"/>
          <w:sz w:val="21"/>
          <w:szCs w:val="21"/>
          <w:highlight w:val="none"/>
          <w:lang w:val="en-US" w:eastAsia="zh-CN" w:bidi="ar-SA"/>
        </w:rPr>
      </w:pPr>
      <w:r>
        <w:rPr>
          <w:rFonts w:hint="eastAsia" w:asciiTheme="minorEastAsia" w:hAnsiTheme="minorEastAsia" w:eastAsiaTheme="minorEastAsia" w:cstheme="minorEastAsia"/>
          <w:bCs/>
          <w:kern w:val="2"/>
          <w:sz w:val="21"/>
          <w:szCs w:val="21"/>
          <w:highlight w:val="none"/>
          <w:lang w:val="en-US" w:eastAsia="zh-CN" w:bidi="ar-SA"/>
        </w:rPr>
        <w:t>公告发布时间：2020年7月</w:t>
      </w:r>
      <w:r>
        <w:rPr>
          <w:rFonts w:hint="eastAsia" w:asciiTheme="minorEastAsia" w:hAnsiTheme="minorEastAsia" w:cstheme="minorEastAsia"/>
          <w:bCs/>
          <w:kern w:val="2"/>
          <w:sz w:val="21"/>
          <w:szCs w:val="21"/>
          <w:highlight w:val="none"/>
          <w:lang w:val="en-US" w:eastAsia="zh-CN" w:bidi="ar-SA"/>
        </w:rPr>
        <w:t>3</w:t>
      </w:r>
      <w:r>
        <w:rPr>
          <w:rFonts w:hint="eastAsia" w:asciiTheme="minorEastAsia" w:hAnsiTheme="minorEastAsia" w:eastAsiaTheme="minorEastAsia" w:cstheme="minorEastAsia"/>
          <w:bCs/>
          <w:kern w:val="2"/>
          <w:sz w:val="21"/>
          <w:szCs w:val="21"/>
          <w:highlight w:val="none"/>
          <w:lang w:val="en-US" w:eastAsia="zh-CN" w:bidi="ar-SA"/>
        </w:rPr>
        <w:t>0日          项目所在地区：江苏省，扬州市</w:t>
      </w:r>
    </w:p>
    <w:p>
      <w:pPr>
        <w:pStyle w:val="2"/>
        <w:rPr>
          <w:highlight w:val="none"/>
        </w:rPr>
      </w:pPr>
    </w:p>
    <w:p>
      <w:pPr>
        <w:pStyle w:val="6"/>
        <w:snapToGrid w:val="0"/>
        <w:spacing w:before="0" w:after="0" w:line="360" w:lineRule="auto"/>
        <w:rPr>
          <w:rFonts w:cstheme="minorEastAsia"/>
          <w:highlight w:val="none"/>
        </w:rPr>
      </w:pPr>
      <w:bookmarkStart w:id="2" w:name="_Toc2217"/>
      <w:bookmarkStart w:id="3" w:name="_Toc43907102"/>
      <w:r>
        <w:rPr>
          <w:rFonts w:hint="eastAsia" w:cstheme="minorEastAsia"/>
          <w:highlight w:val="none"/>
        </w:rPr>
        <w:t>一、招标条件</w:t>
      </w:r>
      <w:bookmarkEnd w:id="2"/>
      <w:bookmarkEnd w:id="3"/>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bCs/>
          <w:szCs w:val="21"/>
          <w:highlight w:val="none"/>
        </w:rPr>
        <w:t>扬州市民卡“扬州公用事业缴费中心系统建设”</w:t>
      </w:r>
      <w:r>
        <w:rPr>
          <w:rFonts w:hint="eastAsia" w:asciiTheme="minorEastAsia" w:hAnsiTheme="minorEastAsia" w:cstheme="minorEastAsia"/>
          <w:szCs w:val="21"/>
          <w:highlight w:val="none"/>
        </w:rPr>
        <w:t>云计算环境升级及服务</w:t>
      </w:r>
      <w:r>
        <w:rPr>
          <w:rFonts w:hint="eastAsia" w:asciiTheme="minorEastAsia" w:hAnsiTheme="minorEastAsia" w:cstheme="minorEastAsia"/>
          <w:bCs/>
          <w:szCs w:val="21"/>
          <w:highlight w:val="none"/>
        </w:rPr>
        <w:t>,采购</w:t>
      </w:r>
      <w:r>
        <w:rPr>
          <w:rFonts w:hint="eastAsia" w:asciiTheme="minorEastAsia" w:hAnsiTheme="minorEastAsia" w:cstheme="minorEastAsia"/>
          <w:highlight w:val="none"/>
        </w:rPr>
        <w:t>已由项目审批/核准/备案机关批准，项目资金来源为自筹，招标人为</w:t>
      </w:r>
      <w:r>
        <w:rPr>
          <w:rFonts w:hint="eastAsia" w:asciiTheme="minorEastAsia" w:hAnsiTheme="minorEastAsia" w:cstheme="minorEastAsia"/>
          <w:bCs/>
          <w:szCs w:val="21"/>
          <w:highlight w:val="none"/>
        </w:rPr>
        <w:t>扬州市民卡有限责任公司</w:t>
      </w:r>
      <w:r>
        <w:rPr>
          <w:rFonts w:hint="eastAsia" w:asciiTheme="minorEastAsia" w:hAnsiTheme="minorEastAsia" w:cstheme="minorEastAsia"/>
          <w:highlight w:val="none"/>
        </w:rPr>
        <w:t>。本项目已具备招标条件，现招标方式为公开招标。</w:t>
      </w:r>
    </w:p>
    <w:p>
      <w:pPr>
        <w:pStyle w:val="6"/>
        <w:snapToGrid w:val="0"/>
        <w:spacing w:before="0" w:after="0" w:line="360" w:lineRule="auto"/>
        <w:rPr>
          <w:rFonts w:cstheme="minorEastAsia"/>
          <w:highlight w:val="none"/>
        </w:rPr>
      </w:pPr>
      <w:bookmarkStart w:id="4" w:name="_Toc15556"/>
      <w:bookmarkStart w:id="5" w:name="_Toc19285"/>
      <w:bookmarkStart w:id="6" w:name="_Toc43907103"/>
      <w:r>
        <w:rPr>
          <w:rFonts w:hint="eastAsia" w:cstheme="minorEastAsia"/>
          <w:highlight w:val="none"/>
        </w:rPr>
        <w:t>二、项目概况和招标范围</w:t>
      </w:r>
      <w:bookmarkEnd w:id="4"/>
      <w:bookmarkEnd w:id="5"/>
      <w:bookmarkEnd w:id="6"/>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szCs w:val="21"/>
          <w:highlight w:val="none"/>
        </w:rPr>
        <w:t>扬州市民卡有限责任公司为了建设完善扬州公用事业缴费中心系统，决定采购一批计算设备和服务：</w:t>
      </w:r>
    </w:p>
    <w:p>
      <w:pPr>
        <w:snapToGrid w:val="0"/>
        <w:spacing w:line="360" w:lineRule="auto"/>
        <w:rPr>
          <w:rFonts w:asciiTheme="minorEastAsia" w:hAnsiTheme="minorEastAsia" w:cstheme="minorEastAsia"/>
          <w:color w:val="000000"/>
          <w:szCs w:val="21"/>
          <w:highlight w:val="none"/>
        </w:rPr>
      </w:pPr>
      <w:r>
        <w:rPr>
          <w:rFonts w:hint="eastAsia" w:asciiTheme="minorEastAsia" w:hAnsiTheme="minorEastAsia" w:cstheme="minorEastAsia"/>
          <w:szCs w:val="21"/>
          <w:highlight w:val="none"/>
        </w:rPr>
        <w:t>扬州市民卡“扬州公用事业缴费中心系统建设”云计算环境升级及服务，项目编号：SMK-ZB-2020-001，采购3台服务器和2台光纤交换机</w:t>
      </w:r>
      <w:r>
        <w:rPr>
          <w:rFonts w:hint="eastAsia" w:asciiTheme="minorEastAsia" w:hAnsiTheme="minorEastAsia" w:cstheme="minorEastAsia"/>
          <w:color w:val="000000"/>
          <w:szCs w:val="21"/>
          <w:highlight w:val="none"/>
        </w:rPr>
        <w:t>，产品需包含三年的维保服务并实现现有私有云环境的升级。</w:t>
      </w:r>
    </w:p>
    <w:p>
      <w:pPr>
        <w:pStyle w:val="2"/>
        <w:snapToGrid w:val="0"/>
        <w:ind w:firstLine="420"/>
        <w:rPr>
          <w:rFonts w:asciiTheme="minorEastAsia" w:hAnsiTheme="minorEastAsia" w:cstheme="minorEastAsia"/>
          <w:kern w:val="0"/>
          <w:sz w:val="21"/>
          <w:szCs w:val="21"/>
          <w:highlight w:val="none"/>
        </w:rPr>
      </w:pPr>
      <w:r>
        <w:rPr>
          <w:rFonts w:hint="eastAsia" w:asciiTheme="minorEastAsia" w:hAnsiTheme="minorEastAsia" w:cstheme="minorEastAsia"/>
          <w:kern w:val="0"/>
          <w:sz w:val="21"/>
          <w:szCs w:val="21"/>
          <w:highlight w:val="none"/>
        </w:rPr>
        <w:t>招标控制价：招标控制价26万元，投标报价超过者按否决投标处理。</w:t>
      </w:r>
    </w:p>
    <w:p>
      <w:pPr>
        <w:pStyle w:val="2"/>
        <w:snapToGrid w:val="0"/>
        <w:spacing w:afterLines="40"/>
        <w:ind w:firstLine="420"/>
        <w:rPr>
          <w:rFonts w:asciiTheme="minorEastAsia" w:hAnsiTheme="minorEastAsia" w:cstheme="minorEastAsia"/>
          <w:kern w:val="0"/>
          <w:sz w:val="21"/>
          <w:szCs w:val="21"/>
          <w:highlight w:val="none"/>
        </w:rPr>
      </w:pPr>
      <w:r>
        <w:rPr>
          <w:rFonts w:hint="eastAsia" w:asciiTheme="minorEastAsia" w:hAnsiTheme="minorEastAsia" w:cstheme="minorEastAsia"/>
          <w:kern w:val="0"/>
          <w:sz w:val="21"/>
          <w:szCs w:val="21"/>
          <w:highlight w:val="none"/>
        </w:rPr>
        <w:t>服务地点：扬州信息产业园2期15号楼二楼。</w:t>
      </w:r>
    </w:p>
    <w:p>
      <w:pPr>
        <w:pStyle w:val="6"/>
        <w:numPr>
          <w:ilvl w:val="0"/>
          <w:numId w:val="1"/>
        </w:numPr>
        <w:snapToGrid w:val="0"/>
        <w:spacing w:before="0" w:after="0" w:line="360" w:lineRule="auto"/>
        <w:rPr>
          <w:rFonts w:cstheme="minorEastAsia"/>
          <w:highlight w:val="none"/>
        </w:rPr>
      </w:pPr>
      <w:bookmarkStart w:id="7" w:name="_Toc19700"/>
      <w:bookmarkStart w:id="8" w:name="_Toc19598"/>
      <w:bookmarkStart w:id="9" w:name="_Toc43907104"/>
      <w:r>
        <w:rPr>
          <w:rFonts w:hint="eastAsia" w:cstheme="minorEastAsia"/>
          <w:highlight w:val="none"/>
        </w:rPr>
        <w:t>投标人资格要求</w:t>
      </w:r>
      <w:bookmarkEnd w:id="7"/>
      <w:bookmarkEnd w:id="8"/>
      <w:bookmarkEnd w:id="9"/>
      <w:r>
        <w:rPr>
          <w:rFonts w:hint="eastAsia" w:cstheme="minorEastAsia"/>
          <w:highlight w:val="none"/>
        </w:rPr>
        <w:t xml:space="preserve"> </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本项目的投标人资格要求：</w:t>
      </w:r>
    </w:p>
    <w:p>
      <w:pPr>
        <w:pStyle w:val="53"/>
        <w:widowControl/>
        <w:adjustRightInd w:val="0"/>
        <w:snapToGrid w:val="0"/>
        <w:spacing w:before="0" w:beforeAutospacing="0" w:after="0" w:afterAutospacing="0" w:line="360" w:lineRule="auto"/>
        <w:ind w:firstLine="420"/>
        <w:jc w:val="both"/>
        <w:rPr>
          <w:rFonts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sz w:val="21"/>
          <w:szCs w:val="21"/>
          <w:highlight w:val="none"/>
        </w:rPr>
        <w:t>（一）</w:t>
      </w:r>
      <w:r>
        <w:rPr>
          <w:rFonts w:hint="eastAsia" w:asciiTheme="minorEastAsia" w:hAnsiTheme="minorEastAsia" w:eastAsiaTheme="minorEastAsia" w:cstheme="minorEastAsia"/>
          <w:bCs/>
          <w:sz w:val="21"/>
          <w:szCs w:val="21"/>
          <w:highlight w:val="none"/>
        </w:rPr>
        <w:t>投标人须具有独立订立合同的能力，</w:t>
      </w:r>
      <w:r>
        <w:rPr>
          <w:rFonts w:hint="eastAsia" w:asciiTheme="minorEastAsia" w:hAnsiTheme="minorEastAsia" w:eastAsiaTheme="minorEastAsia" w:cstheme="minorEastAsia"/>
          <w:color w:val="444444"/>
          <w:sz w:val="21"/>
          <w:szCs w:val="21"/>
          <w:highlight w:val="none"/>
          <w:shd w:val="clear" w:color="auto" w:fill="FFFFFF"/>
        </w:rPr>
        <w:t>招标内容在其营业执照的经营范围内</w:t>
      </w:r>
      <w:r>
        <w:rPr>
          <w:rFonts w:hint="eastAsia" w:asciiTheme="minorEastAsia" w:hAnsiTheme="minorEastAsia" w:eastAsiaTheme="minorEastAsia" w:cstheme="minorEastAsia"/>
          <w:bCs/>
          <w:sz w:val="21"/>
          <w:szCs w:val="21"/>
          <w:highlight w:val="none"/>
        </w:rPr>
        <w:t>。（营业执照复印件加盖投标人公章装订于投标文件中）</w:t>
      </w:r>
    </w:p>
    <w:p>
      <w:pPr>
        <w:pStyle w:val="53"/>
        <w:widowControl/>
        <w:adjustRightInd w:val="0"/>
        <w:snapToGrid w:val="0"/>
        <w:spacing w:before="0" w:beforeAutospacing="0" w:after="0" w:afterAutospacing="0" w:line="360" w:lineRule="auto"/>
        <w:ind w:firstLine="420"/>
        <w:jc w:val="both"/>
        <w:rPr>
          <w:rFonts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（二）</w:t>
      </w:r>
      <w:r>
        <w:rPr>
          <w:rFonts w:hint="eastAsia" w:asciiTheme="minorEastAsia" w:hAnsiTheme="minorEastAsia" w:eastAsiaTheme="minorEastAsia" w:cstheme="minorEastAsia"/>
          <w:sz w:val="21"/>
          <w:szCs w:val="21"/>
          <w:highlight w:val="none"/>
        </w:rPr>
        <w:t>具有履行合同的财务能力</w:t>
      </w:r>
      <w:r>
        <w:rPr>
          <w:rFonts w:hint="eastAsia" w:asciiTheme="minorEastAsia" w:hAnsiTheme="minorEastAsia" w:eastAsiaTheme="minorEastAsia" w:cstheme="minorEastAsia"/>
          <w:bCs/>
          <w:sz w:val="21"/>
          <w:szCs w:val="21"/>
          <w:highlight w:val="none"/>
        </w:rPr>
        <w:t>，提供</w:t>
      </w:r>
      <w:r>
        <w:rPr>
          <w:rFonts w:hint="eastAsia" w:asciiTheme="minorEastAsia" w:hAnsiTheme="minorEastAsia" w:eastAsiaTheme="minorEastAsia" w:cstheme="minorEastAsia"/>
          <w:sz w:val="21"/>
          <w:szCs w:val="21"/>
          <w:highlight w:val="none"/>
        </w:rPr>
        <w:t>2019年度财务状况表</w:t>
      </w:r>
      <w:r>
        <w:rPr>
          <w:rFonts w:hint="eastAsia" w:asciiTheme="minorEastAsia" w:hAnsiTheme="minorEastAsia" w:eastAsiaTheme="minorEastAsia" w:cstheme="minorEastAsia"/>
          <w:bCs/>
          <w:sz w:val="21"/>
          <w:szCs w:val="21"/>
          <w:highlight w:val="none"/>
        </w:rPr>
        <w:t>。（复印件加盖投标人公章装订于投标文件中）</w:t>
      </w:r>
    </w:p>
    <w:p>
      <w:pPr>
        <w:pStyle w:val="53"/>
        <w:widowControl/>
        <w:adjustRightInd w:val="0"/>
        <w:snapToGrid w:val="0"/>
        <w:spacing w:before="0" w:beforeAutospacing="0" w:after="0" w:afterAutospacing="0" w:line="360" w:lineRule="auto"/>
        <w:ind w:firstLine="420"/>
        <w:jc w:val="both"/>
        <w:rPr>
          <w:rFonts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sz w:val="21"/>
          <w:szCs w:val="21"/>
          <w:highlight w:val="none"/>
        </w:rPr>
        <w:t>（三）</w:t>
      </w:r>
      <w:r>
        <w:rPr>
          <w:rFonts w:hint="eastAsia" w:asciiTheme="minorEastAsia" w:hAnsiTheme="minorEastAsia" w:eastAsiaTheme="minorEastAsia" w:cstheme="minorEastAsia"/>
          <w:bCs/>
          <w:sz w:val="21"/>
          <w:szCs w:val="21"/>
          <w:highlight w:val="none"/>
        </w:rPr>
        <w:t>具有履行合同所必需相关资质和专业技术能力。（相关资质复印件加盖投标人公章装订于投标文件中）</w:t>
      </w:r>
    </w:p>
    <w:p>
      <w:pPr>
        <w:snapToGrid w:val="0"/>
        <w:spacing w:line="360" w:lineRule="auto"/>
        <w:rPr>
          <w:rFonts w:asciiTheme="minorEastAsia" w:hAnsiTheme="minorEastAsia" w:cstheme="minorEastAsia"/>
          <w:szCs w:val="21"/>
          <w:highlight w:val="none"/>
        </w:rPr>
      </w:pPr>
      <w:r>
        <w:rPr>
          <w:rFonts w:hint="eastAsia" w:asciiTheme="minorEastAsia" w:hAnsiTheme="minorEastAsia" w:cstheme="minorEastAsia"/>
          <w:szCs w:val="21"/>
          <w:highlight w:val="none"/>
        </w:rPr>
        <w:t>（</w:t>
      </w:r>
      <w:r>
        <w:rPr>
          <w:rFonts w:hint="eastAsia" w:asciiTheme="minorEastAsia" w:hAnsiTheme="minorEastAsia" w:cstheme="minorEastAsia"/>
          <w:szCs w:val="21"/>
          <w:highlight w:val="none"/>
          <w:lang w:val="en-US" w:eastAsia="zh-CN"/>
        </w:rPr>
        <w:t>四</w:t>
      </w:r>
      <w:r>
        <w:rPr>
          <w:rFonts w:hint="eastAsia" w:asciiTheme="minorEastAsia" w:hAnsiTheme="minorEastAsia" w:cstheme="minorEastAsia"/>
          <w:szCs w:val="21"/>
          <w:highlight w:val="none"/>
        </w:rPr>
        <w:t>）有下列行为之一的投标人，招标人不接受其参加投标（承诺书装订于投标文件中，正本中应为原件）：</w:t>
      </w:r>
    </w:p>
    <w:p>
      <w:pPr>
        <w:snapToGrid w:val="0"/>
        <w:spacing w:line="360" w:lineRule="auto"/>
        <w:rPr>
          <w:rFonts w:asciiTheme="minorEastAsia" w:hAnsiTheme="minorEastAsia" w:cstheme="minorEastAsia"/>
          <w:szCs w:val="21"/>
          <w:highlight w:val="none"/>
        </w:rPr>
      </w:pPr>
      <w:r>
        <w:rPr>
          <w:rFonts w:hint="eastAsia" w:asciiTheme="minorEastAsia" w:hAnsiTheme="minorEastAsia" w:cstheme="minorEastAsia"/>
          <w:szCs w:val="21"/>
          <w:highlight w:val="none"/>
        </w:rPr>
        <w:t>1.有违反法律、法规行为，依法被取消投标资格且期限未满的；</w:t>
      </w:r>
    </w:p>
    <w:p>
      <w:pPr>
        <w:snapToGrid w:val="0"/>
        <w:spacing w:line="360" w:lineRule="auto"/>
        <w:rPr>
          <w:rFonts w:asciiTheme="minorEastAsia" w:hAnsiTheme="minorEastAsia" w:cstheme="minorEastAsia"/>
          <w:szCs w:val="21"/>
          <w:highlight w:val="none"/>
        </w:rPr>
      </w:pPr>
      <w:r>
        <w:rPr>
          <w:rFonts w:hint="eastAsia" w:asciiTheme="minorEastAsia" w:hAnsiTheme="minorEastAsia" w:cstheme="minorEastAsia"/>
          <w:szCs w:val="21"/>
          <w:highlight w:val="none"/>
        </w:rPr>
        <w:t>2.招投标活动中有违法违规和不良行为，被有关招投标行政监督部门公示且期限未满的；</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szCs w:val="21"/>
          <w:highlight w:val="none"/>
        </w:rPr>
        <w:t>3.2018年1月1日以来存在出让或者出租资格、资质证书供他人投标的，使用通过受让或者租借等方式获取的资格、资质证书投标的行为的。</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w:t>
      </w:r>
      <w:r>
        <w:rPr>
          <w:rFonts w:hint="eastAsia" w:asciiTheme="minorEastAsia" w:hAnsiTheme="minorEastAsia" w:cstheme="minorEastAsia"/>
          <w:highlight w:val="none"/>
          <w:lang w:val="en-US" w:eastAsia="zh-CN"/>
        </w:rPr>
        <w:t>五</w:t>
      </w:r>
      <w:r>
        <w:rPr>
          <w:rFonts w:hint="eastAsia" w:asciiTheme="minorEastAsia" w:hAnsiTheme="minorEastAsia" w:cstheme="minorEastAsia"/>
          <w:highlight w:val="none"/>
        </w:rPr>
        <w:t>）一个制造商对同一品牌同一型号的设备，仅能委托一个代理商参加投标。</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w:t>
      </w:r>
      <w:r>
        <w:rPr>
          <w:rFonts w:hint="eastAsia" w:asciiTheme="minorEastAsia" w:hAnsiTheme="minorEastAsia" w:cstheme="minorEastAsia"/>
          <w:highlight w:val="none"/>
          <w:lang w:val="en-US" w:eastAsia="zh-CN"/>
        </w:rPr>
        <w:t>六</w:t>
      </w:r>
      <w:r>
        <w:rPr>
          <w:rFonts w:hint="eastAsia" w:asciiTheme="minorEastAsia" w:hAnsiTheme="minorEastAsia" w:cstheme="minorEastAsia"/>
          <w:highlight w:val="none"/>
        </w:rPr>
        <w:t>）本项目</w:t>
      </w:r>
      <w:r>
        <w:rPr>
          <w:rFonts w:hint="eastAsia" w:asciiTheme="minorEastAsia" w:hAnsiTheme="minorEastAsia" w:cstheme="minorEastAsia"/>
          <w:b/>
          <w:bCs/>
          <w:highlight w:val="none"/>
        </w:rPr>
        <w:t>不允许</w:t>
      </w:r>
      <w:r>
        <w:rPr>
          <w:rFonts w:hint="eastAsia" w:asciiTheme="minorEastAsia" w:hAnsiTheme="minorEastAsia" w:cstheme="minorEastAsia"/>
          <w:highlight w:val="none"/>
        </w:rPr>
        <w:t>联合体投标。</w:t>
      </w:r>
    </w:p>
    <w:p>
      <w:pPr>
        <w:pStyle w:val="6"/>
        <w:snapToGrid w:val="0"/>
        <w:spacing w:before="0" w:after="0" w:line="360" w:lineRule="auto"/>
        <w:rPr>
          <w:rFonts w:cstheme="minorEastAsia"/>
          <w:highlight w:val="none"/>
        </w:rPr>
      </w:pPr>
      <w:bookmarkStart w:id="10" w:name="_Toc8913"/>
      <w:bookmarkStart w:id="11" w:name="_Toc43907105"/>
      <w:bookmarkStart w:id="12" w:name="_Toc24742"/>
      <w:r>
        <w:rPr>
          <w:rFonts w:hint="eastAsia" w:cstheme="minorEastAsia"/>
          <w:highlight w:val="none"/>
        </w:rPr>
        <w:t>四、招标文件的获取</w:t>
      </w:r>
      <w:bookmarkEnd w:id="10"/>
      <w:bookmarkEnd w:id="11"/>
      <w:bookmarkEnd w:id="12"/>
    </w:p>
    <w:p>
      <w:pPr>
        <w:spacing w:line="360" w:lineRule="auto"/>
        <w:rPr>
          <w:rFonts w:asciiTheme="minorEastAsia" w:hAnsiTheme="minorEastAsia" w:cstheme="minorEastAsia"/>
          <w:highlight w:val="none"/>
        </w:rPr>
      </w:pPr>
      <w:r>
        <w:rPr>
          <w:rFonts w:hint="eastAsia" w:asciiTheme="minorEastAsia" w:hAnsiTheme="minorEastAsia" w:cstheme="minorEastAsia"/>
          <w:highlight w:val="none"/>
        </w:rPr>
        <w:t>获取时间：从</w:t>
      </w:r>
      <w:r>
        <w:rPr>
          <w:rFonts w:hint="eastAsia" w:asciiTheme="minorEastAsia" w:hAnsiTheme="minorEastAsia" w:cstheme="minorEastAsia"/>
          <w:szCs w:val="21"/>
          <w:highlight w:val="none"/>
        </w:rPr>
        <w:t>2</w:t>
      </w:r>
      <w:r>
        <w:rPr>
          <w:rFonts w:asciiTheme="minorEastAsia" w:hAnsiTheme="minorEastAsia" w:cstheme="minorEastAsia"/>
          <w:szCs w:val="21"/>
          <w:highlight w:val="none"/>
        </w:rPr>
        <w:t>0</w:t>
      </w:r>
      <w:r>
        <w:rPr>
          <w:rFonts w:hint="eastAsia" w:asciiTheme="minorEastAsia" w:hAnsiTheme="minorEastAsia" w:cstheme="minorEastAsia"/>
          <w:szCs w:val="21"/>
          <w:highlight w:val="none"/>
        </w:rPr>
        <w:t>20年</w:t>
      </w:r>
      <w:r>
        <w:rPr>
          <w:rFonts w:hint="eastAsia" w:asciiTheme="minorEastAsia" w:hAnsiTheme="minorEastAsia" w:cstheme="minorEastAsia"/>
          <w:szCs w:val="21"/>
          <w:highlight w:val="none"/>
          <w:u w:val="none"/>
          <w:lang w:val="en-US" w:eastAsia="zh-CN"/>
        </w:rPr>
        <w:t>7</w:t>
      </w:r>
      <w:r>
        <w:rPr>
          <w:rFonts w:hint="eastAsia" w:asciiTheme="minorEastAsia" w:hAnsiTheme="minorEastAsia" w:cstheme="minorEastAsia"/>
          <w:szCs w:val="21"/>
          <w:highlight w:val="none"/>
        </w:rPr>
        <w:t>月</w:t>
      </w:r>
      <w:r>
        <w:rPr>
          <w:rFonts w:hint="eastAsia" w:asciiTheme="minorEastAsia" w:hAnsiTheme="minorEastAsia" w:cstheme="minorEastAsia"/>
          <w:szCs w:val="21"/>
          <w:highlight w:val="none"/>
          <w:u w:val="none"/>
          <w:lang w:val="en-US" w:eastAsia="zh-CN"/>
        </w:rPr>
        <w:t>30</w:t>
      </w:r>
      <w:r>
        <w:rPr>
          <w:rFonts w:hint="eastAsia" w:asciiTheme="minorEastAsia" w:hAnsiTheme="minorEastAsia" w:cstheme="minorEastAsia"/>
          <w:szCs w:val="21"/>
          <w:highlight w:val="none"/>
        </w:rPr>
        <w:t>日09：00</w:t>
      </w:r>
      <w:r>
        <w:rPr>
          <w:rFonts w:hint="eastAsia" w:asciiTheme="minorEastAsia" w:hAnsiTheme="minorEastAsia" w:cstheme="minorEastAsia"/>
          <w:highlight w:val="none"/>
        </w:rPr>
        <w:t>到</w:t>
      </w:r>
      <w:r>
        <w:rPr>
          <w:rFonts w:hint="eastAsia" w:asciiTheme="minorEastAsia" w:hAnsiTheme="minorEastAsia" w:cstheme="minorEastAsia"/>
          <w:szCs w:val="21"/>
          <w:highlight w:val="none"/>
        </w:rPr>
        <w:t>2020年</w:t>
      </w:r>
      <w:r>
        <w:rPr>
          <w:rFonts w:hint="eastAsia" w:asciiTheme="minorEastAsia" w:hAnsiTheme="minorEastAsia" w:cstheme="minorEastAsia"/>
          <w:szCs w:val="21"/>
          <w:highlight w:val="none"/>
          <w:lang w:val="en-US" w:eastAsia="zh-CN"/>
        </w:rPr>
        <w:t>8</w:t>
      </w:r>
      <w:r>
        <w:rPr>
          <w:rFonts w:hint="eastAsia" w:asciiTheme="minorEastAsia" w:hAnsiTheme="minorEastAsia" w:cstheme="minorEastAsia"/>
          <w:szCs w:val="21"/>
          <w:highlight w:val="none"/>
        </w:rPr>
        <w:t>月</w:t>
      </w:r>
      <w:r>
        <w:rPr>
          <w:rFonts w:hint="eastAsia" w:asciiTheme="minorEastAsia" w:hAnsiTheme="minorEastAsia" w:cstheme="minorEastAsia"/>
          <w:szCs w:val="21"/>
          <w:highlight w:val="none"/>
          <w:lang w:val="en-US" w:eastAsia="zh-CN"/>
        </w:rPr>
        <w:t>6</w:t>
      </w:r>
      <w:r>
        <w:rPr>
          <w:rFonts w:hint="eastAsia" w:asciiTheme="minorEastAsia" w:hAnsiTheme="minorEastAsia" w:cstheme="minorEastAsia"/>
          <w:szCs w:val="21"/>
          <w:highlight w:val="none"/>
        </w:rPr>
        <w:t>日17：00</w:t>
      </w:r>
    </w:p>
    <w:p>
      <w:pPr>
        <w:snapToGrid w:val="0"/>
        <w:spacing w:line="360" w:lineRule="auto"/>
        <w:rPr>
          <w:rFonts w:asciiTheme="minorEastAsia" w:hAnsiTheme="minorEastAsia" w:cstheme="minorEastAsia"/>
          <w:highlight w:val="none"/>
        </w:rPr>
      </w:pP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获取方式：</w:t>
      </w:r>
      <w:r>
        <w:rPr>
          <w:rFonts w:hint="eastAsia"/>
          <w:szCs w:val="21"/>
          <w:highlight w:val="none"/>
          <w:u w:val="single"/>
        </w:rPr>
        <w:t>扬州市城建国有资产控股(集团）有限责任公司网站</w:t>
      </w:r>
      <w:r>
        <w:rPr>
          <w:rFonts w:hint="eastAsia"/>
          <w:szCs w:val="21"/>
          <w:highlight w:val="none"/>
        </w:rPr>
        <w:t>自行下载。</w:t>
      </w:r>
      <w:r>
        <w:rPr>
          <w:rFonts w:hint="eastAsia" w:asciiTheme="minorEastAsia" w:hAnsiTheme="minorEastAsia" w:cstheme="minorEastAsia"/>
          <w:highlight w:val="none"/>
        </w:rPr>
        <w:t xml:space="preserve"> </w:t>
      </w:r>
    </w:p>
    <w:p>
      <w:pPr>
        <w:pStyle w:val="6"/>
        <w:snapToGrid w:val="0"/>
        <w:spacing w:before="0" w:after="0" w:line="360" w:lineRule="auto"/>
        <w:rPr>
          <w:rFonts w:cstheme="minorEastAsia"/>
          <w:highlight w:val="none"/>
        </w:rPr>
      </w:pPr>
      <w:bookmarkStart w:id="13" w:name="_Toc12495"/>
      <w:bookmarkStart w:id="14" w:name="_Toc12624"/>
      <w:bookmarkStart w:id="15" w:name="_Toc43907106"/>
      <w:r>
        <w:rPr>
          <w:rFonts w:hint="eastAsia" w:cstheme="minorEastAsia"/>
          <w:highlight w:val="none"/>
        </w:rPr>
        <w:t>五、投标文件的递交</w:t>
      </w:r>
      <w:bookmarkEnd w:id="13"/>
      <w:bookmarkEnd w:id="14"/>
      <w:bookmarkEnd w:id="15"/>
    </w:p>
    <w:p>
      <w:pPr>
        <w:snapToGrid w:val="0"/>
        <w:spacing w:line="360" w:lineRule="auto"/>
        <w:rPr>
          <w:rFonts w:asciiTheme="minorEastAsia" w:hAnsiTheme="minorEastAsia" w:cstheme="minorEastAsia"/>
          <w:szCs w:val="21"/>
          <w:highlight w:val="none"/>
        </w:rPr>
      </w:pPr>
      <w:r>
        <w:rPr>
          <w:rFonts w:hint="eastAsia" w:asciiTheme="minorEastAsia" w:hAnsiTheme="minorEastAsia" w:cstheme="minorEastAsia"/>
          <w:highlight w:val="none"/>
        </w:rPr>
        <w:t>递交开始时间：</w:t>
      </w:r>
      <w:r>
        <w:rPr>
          <w:rFonts w:hint="eastAsia" w:asciiTheme="minorEastAsia" w:hAnsiTheme="minorEastAsia" w:cstheme="minorEastAsia"/>
          <w:szCs w:val="21"/>
          <w:highlight w:val="none"/>
        </w:rPr>
        <w:t>2020年</w:t>
      </w:r>
      <w:r>
        <w:rPr>
          <w:rFonts w:hint="eastAsia" w:asciiTheme="minorEastAsia" w:hAnsiTheme="minorEastAsia" w:cstheme="minorEastAsia"/>
          <w:szCs w:val="21"/>
          <w:highlight w:val="none"/>
          <w:u w:val="none"/>
          <w:lang w:val="en-US" w:eastAsia="zh-CN"/>
        </w:rPr>
        <w:t>8</w:t>
      </w:r>
      <w:r>
        <w:rPr>
          <w:rFonts w:hint="eastAsia" w:asciiTheme="minorEastAsia" w:hAnsiTheme="minorEastAsia" w:cstheme="minorEastAsia"/>
          <w:szCs w:val="21"/>
          <w:highlight w:val="none"/>
        </w:rPr>
        <w:t>月</w:t>
      </w:r>
      <w:r>
        <w:rPr>
          <w:rFonts w:hint="eastAsia" w:asciiTheme="minorEastAsia" w:hAnsiTheme="minorEastAsia" w:cstheme="minorEastAsia"/>
          <w:szCs w:val="21"/>
          <w:highlight w:val="none"/>
          <w:lang w:val="en-US" w:eastAsia="zh-CN"/>
        </w:rPr>
        <w:t>17</w:t>
      </w:r>
      <w:r>
        <w:rPr>
          <w:rFonts w:hint="eastAsia" w:asciiTheme="minorEastAsia" w:hAnsiTheme="minorEastAsia" w:cstheme="minorEastAsia"/>
          <w:szCs w:val="21"/>
          <w:highlight w:val="none"/>
        </w:rPr>
        <w:t>日08：30</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递交截止时间：</w:t>
      </w:r>
      <w:r>
        <w:rPr>
          <w:rFonts w:hint="eastAsia" w:asciiTheme="minorEastAsia" w:hAnsiTheme="minorEastAsia" w:cstheme="minorEastAsia"/>
          <w:szCs w:val="21"/>
          <w:highlight w:val="none"/>
        </w:rPr>
        <w:t>2020年</w:t>
      </w:r>
      <w:r>
        <w:rPr>
          <w:rFonts w:hint="eastAsia" w:asciiTheme="minorEastAsia" w:hAnsiTheme="minorEastAsia" w:cstheme="minorEastAsia"/>
          <w:szCs w:val="21"/>
          <w:highlight w:val="none"/>
          <w:u w:val="none"/>
          <w:lang w:val="en-US" w:eastAsia="zh-CN"/>
        </w:rPr>
        <w:t>8</w:t>
      </w:r>
      <w:r>
        <w:rPr>
          <w:rFonts w:hint="eastAsia" w:asciiTheme="minorEastAsia" w:hAnsiTheme="minorEastAsia" w:cstheme="minorEastAsia"/>
          <w:szCs w:val="21"/>
          <w:highlight w:val="none"/>
        </w:rPr>
        <w:t>月</w:t>
      </w:r>
      <w:r>
        <w:rPr>
          <w:rFonts w:hint="eastAsia" w:asciiTheme="minorEastAsia" w:hAnsiTheme="minorEastAsia" w:cstheme="minorEastAsia"/>
          <w:szCs w:val="21"/>
          <w:highlight w:val="none"/>
          <w:lang w:val="en-US" w:eastAsia="zh-CN"/>
        </w:rPr>
        <w:t>17</w:t>
      </w:r>
      <w:r>
        <w:rPr>
          <w:rFonts w:hint="eastAsia" w:asciiTheme="minorEastAsia" w:hAnsiTheme="minorEastAsia" w:cstheme="minorEastAsia"/>
          <w:szCs w:val="21"/>
          <w:highlight w:val="none"/>
        </w:rPr>
        <w:t>日09：00</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递交方式：</w:t>
      </w:r>
      <w:r>
        <w:rPr>
          <w:rFonts w:hint="eastAsia" w:ascii="宋体" w:hAnsi="宋体"/>
          <w:snapToGrid w:val="0"/>
          <w:szCs w:val="21"/>
          <w:highlight w:val="none"/>
        </w:rPr>
        <w:t>扬州市嘉诚造价咨询有限公司（</w:t>
      </w:r>
      <w:r>
        <w:rPr>
          <w:rFonts w:hint="eastAsia"/>
          <w:szCs w:val="21"/>
          <w:highlight w:val="none"/>
        </w:rPr>
        <w:t>扬州市史可法路58-21号城建置业办公楼三楼</w:t>
      </w:r>
      <w:r>
        <w:rPr>
          <w:rFonts w:hint="eastAsia" w:ascii="宋体" w:hAnsi="宋体"/>
          <w:snapToGrid w:val="0"/>
          <w:szCs w:val="21"/>
          <w:highlight w:val="none"/>
        </w:rPr>
        <w:t>）</w:t>
      </w:r>
    </w:p>
    <w:p>
      <w:pPr>
        <w:pStyle w:val="6"/>
        <w:snapToGrid w:val="0"/>
        <w:spacing w:before="0" w:after="0" w:line="360" w:lineRule="auto"/>
        <w:rPr>
          <w:rFonts w:cstheme="minorEastAsia"/>
          <w:highlight w:val="none"/>
        </w:rPr>
      </w:pPr>
      <w:bookmarkStart w:id="16" w:name="_Toc24520"/>
      <w:bookmarkStart w:id="17" w:name="_Toc11118"/>
      <w:bookmarkStart w:id="18" w:name="_Toc43907107"/>
      <w:r>
        <w:rPr>
          <w:rFonts w:hint="eastAsia" w:cstheme="minorEastAsia"/>
          <w:highlight w:val="none"/>
        </w:rPr>
        <w:t>六、开标时间及地点</w:t>
      </w:r>
      <w:bookmarkEnd w:id="16"/>
      <w:bookmarkEnd w:id="17"/>
      <w:bookmarkEnd w:id="18"/>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开标时间：</w:t>
      </w:r>
      <w:r>
        <w:rPr>
          <w:rFonts w:hint="eastAsia" w:asciiTheme="minorEastAsia" w:hAnsiTheme="minorEastAsia" w:cstheme="minorEastAsia"/>
          <w:szCs w:val="21"/>
          <w:highlight w:val="none"/>
        </w:rPr>
        <w:t>2020年</w:t>
      </w:r>
      <w:r>
        <w:rPr>
          <w:rFonts w:hint="eastAsia" w:asciiTheme="minorEastAsia" w:hAnsiTheme="minorEastAsia" w:cstheme="minorEastAsia"/>
          <w:szCs w:val="21"/>
          <w:highlight w:val="none"/>
          <w:u w:val="none"/>
          <w:lang w:val="en-US" w:eastAsia="zh-CN"/>
        </w:rPr>
        <w:t>8</w:t>
      </w:r>
      <w:r>
        <w:rPr>
          <w:rFonts w:hint="eastAsia" w:asciiTheme="minorEastAsia" w:hAnsiTheme="minorEastAsia" w:cstheme="minorEastAsia"/>
          <w:szCs w:val="21"/>
          <w:highlight w:val="none"/>
        </w:rPr>
        <w:t>月</w:t>
      </w:r>
      <w:r>
        <w:rPr>
          <w:rFonts w:hint="eastAsia" w:asciiTheme="minorEastAsia" w:hAnsiTheme="minorEastAsia" w:cstheme="minorEastAsia"/>
          <w:szCs w:val="21"/>
          <w:highlight w:val="none"/>
          <w:lang w:val="en-US" w:eastAsia="zh-CN"/>
        </w:rPr>
        <w:t>17</w:t>
      </w:r>
      <w:r>
        <w:rPr>
          <w:rFonts w:hint="eastAsia" w:asciiTheme="minorEastAsia" w:hAnsiTheme="minorEastAsia" w:cstheme="minorEastAsia"/>
          <w:szCs w:val="21"/>
          <w:highlight w:val="none"/>
        </w:rPr>
        <w:t>日09：00</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开标地点：</w:t>
      </w:r>
      <w:r>
        <w:rPr>
          <w:rFonts w:hint="eastAsia" w:ascii="宋体" w:hAnsi="宋体"/>
          <w:snapToGrid w:val="0"/>
          <w:szCs w:val="21"/>
          <w:highlight w:val="none"/>
        </w:rPr>
        <w:t>扬州市嘉诚造价咨询有限公司（</w:t>
      </w:r>
      <w:r>
        <w:rPr>
          <w:rFonts w:hint="eastAsia"/>
          <w:szCs w:val="21"/>
          <w:highlight w:val="none"/>
        </w:rPr>
        <w:t>扬州市史可法路58-21号城建置业办公楼三楼</w:t>
      </w:r>
      <w:r>
        <w:rPr>
          <w:rFonts w:hint="eastAsia" w:ascii="宋体" w:hAnsi="宋体"/>
          <w:snapToGrid w:val="0"/>
          <w:szCs w:val="21"/>
          <w:highlight w:val="none"/>
        </w:rPr>
        <w:t>）</w:t>
      </w:r>
    </w:p>
    <w:p>
      <w:pPr>
        <w:pStyle w:val="6"/>
        <w:snapToGrid w:val="0"/>
        <w:spacing w:before="0" w:after="0" w:line="360" w:lineRule="auto"/>
        <w:rPr>
          <w:rFonts w:cstheme="minorEastAsia"/>
          <w:highlight w:val="none"/>
        </w:rPr>
      </w:pPr>
      <w:bookmarkStart w:id="19" w:name="_Toc43907108"/>
      <w:bookmarkStart w:id="20" w:name="_Toc32760"/>
      <w:bookmarkStart w:id="21" w:name="_Toc28913"/>
      <w:r>
        <w:rPr>
          <w:rFonts w:hint="eastAsia" w:cstheme="minorEastAsia"/>
          <w:highlight w:val="none"/>
        </w:rPr>
        <w:t>七、其他</w:t>
      </w:r>
      <w:bookmarkEnd w:id="19"/>
      <w:bookmarkEnd w:id="20"/>
      <w:bookmarkEnd w:id="21"/>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（一）本项目允许投标人同时中标的最多标段数为</w:t>
      </w:r>
      <w:r>
        <w:rPr>
          <w:rFonts w:hint="eastAsia" w:asciiTheme="minorEastAsia" w:hAnsiTheme="minorEastAsia" w:cstheme="minorEastAsia"/>
          <w:highlight w:val="none"/>
          <w:lang w:val="en-US" w:eastAsia="zh-CN"/>
        </w:rPr>
        <w:t>1</w:t>
      </w:r>
      <w:r>
        <w:rPr>
          <w:rFonts w:hint="eastAsia" w:asciiTheme="minorEastAsia" w:hAnsiTheme="minorEastAsia" w:cstheme="minorEastAsia"/>
          <w:highlight w:val="none"/>
        </w:rPr>
        <w:t>个。</w:t>
      </w:r>
    </w:p>
    <w:p>
      <w:pPr>
        <w:snapToGrid w:val="0"/>
        <w:spacing w:line="360" w:lineRule="auto"/>
        <w:rPr>
          <w:rFonts w:asciiTheme="minorEastAsia" w:hAnsiTheme="minorEastAsia" w:cstheme="minorEastAsia"/>
        </w:rPr>
      </w:pPr>
      <w:r>
        <w:rPr>
          <w:rFonts w:hint="eastAsia" w:asciiTheme="minorEastAsia" w:hAnsiTheme="minorEastAsia" w:cstheme="minorEastAsia"/>
          <w:highlight w:val="none"/>
        </w:rPr>
        <w:t>（二）本项目的潜在投标人/投标人须按项目获取招标文件</w:t>
      </w:r>
      <w:r>
        <w:rPr>
          <w:rFonts w:hint="eastAsia" w:asciiTheme="minorEastAsia" w:hAnsiTheme="minorEastAsia" w:cstheme="minorEastAsia"/>
        </w:rPr>
        <w:t>，按标段编制、密封、提交投标文件，本项目按标段开标、评标。</w:t>
      </w:r>
    </w:p>
    <w:p>
      <w:pPr>
        <w:snapToGrid w:val="0"/>
        <w:spacing w:line="360" w:lineRule="auto"/>
        <w:rPr>
          <w:rFonts w:asciiTheme="minorEastAsia" w:hAnsiTheme="minorEastAsia" w:cstheme="minorEastAsia"/>
        </w:rPr>
      </w:pPr>
      <w:r>
        <w:rPr>
          <w:rFonts w:hint="eastAsia" w:asciiTheme="minorEastAsia" w:hAnsiTheme="minorEastAsia" w:cstheme="minorEastAsia"/>
        </w:rPr>
        <w:t>（三）逾期送达的、未送达指定地点的或者不按照招标文件要求密封的投标文件，招标人将予以拒收。</w:t>
      </w:r>
    </w:p>
    <w:p>
      <w:pPr>
        <w:snapToGrid w:val="0"/>
        <w:spacing w:line="360" w:lineRule="auto"/>
        <w:rPr>
          <w:rFonts w:asciiTheme="minorEastAsia" w:hAnsiTheme="minorEastAsia" w:cstheme="minorEastAsia"/>
        </w:rPr>
      </w:pPr>
      <w:bookmarkStart w:id="22" w:name="_Toc506205204"/>
      <w:bookmarkStart w:id="23" w:name="_Toc503982942"/>
      <w:bookmarkStart w:id="24" w:name="_Toc12289"/>
      <w:r>
        <w:rPr>
          <w:rFonts w:hint="eastAsia" w:asciiTheme="minorEastAsia" w:hAnsiTheme="minorEastAsia" w:cstheme="minorEastAsia"/>
        </w:rPr>
        <w:t>（四）发布公告的媒介</w:t>
      </w:r>
      <w:bookmarkEnd w:id="22"/>
      <w:bookmarkEnd w:id="23"/>
      <w:bookmarkEnd w:id="24"/>
    </w:p>
    <w:p>
      <w:pPr>
        <w:snapToGrid w:val="0"/>
        <w:spacing w:line="360" w:lineRule="auto"/>
        <w:rPr>
          <w:rFonts w:asciiTheme="minorEastAsia" w:hAnsiTheme="minorEastAsia" w:cstheme="minorEastAsia"/>
        </w:rPr>
      </w:pPr>
      <w:r>
        <w:rPr>
          <w:rFonts w:hint="eastAsia" w:asciiTheme="minorEastAsia" w:hAnsiTheme="minorEastAsia" w:cstheme="minorEastAsia"/>
        </w:rPr>
        <w:t>本次招标公告在</w:t>
      </w:r>
      <w:r>
        <w:rPr>
          <w:rFonts w:hint="eastAsia"/>
          <w:szCs w:val="21"/>
          <w:u w:val="single"/>
        </w:rPr>
        <w:t>扬州市城建国有资产控股(集团）有限责任公司网站</w:t>
      </w:r>
      <w:r>
        <w:rPr>
          <w:rFonts w:hint="eastAsia" w:asciiTheme="minorEastAsia" w:hAnsiTheme="minorEastAsia" w:cstheme="minorEastAsia"/>
        </w:rPr>
        <w:t>平台上发布。</w:t>
      </w:r>
    </w:p>
    <w:p>
      <w:pPr>
        <w:pStyle w:val="6"/>
        <w:snapToGrid w:val="0"/>
        <w:spacing w:before="0" w:after="0" w:line="360" w:lineRule="auto"/>
        <w:rPr>
          <w:rFonts w:cstheme="minorEastAsia"/>
        </w:rPr>
      </w:pPr>
      <w:bookmarkStart w:id="25" w:name="_Toc24220"/>
      <w:bookmarkStart w:id="26" w:name="_Toc11757"/>
      <w:bookmarkStart w:id="27" w:name="_Toc43907109"/>
      <w:r>
        <w:rPr>
          <w:rFonts w:hint="eastAsia" w:cstheme="minorEastAsia"/>
        </w:rPr>
        <w:t>八、监督部门</w:t>
      </w:r>
      <w:bookmarkEnd w:id="25"/>
      <w:bookmarkEnd w:id="26"/>
      <w:bookmarkEnd w:id="27"/>
    </w:p>
    <w:p>
      <w:pPr>
        <w:snapToGrid w:val="0"/>
        <w:spacing w:line="360" w:lineRule="auto"/>
        <w:rPr>
          <w:rFonts w:asciiTheme="minorEastAsia" w:hAnsiTheme="minorEastAsia" w:cstheme="minorEastAsia"/>
        </w:rPr>
      </w:pPr>
      <w:r>
        <w:rPr>
          <w:rFonts w:hint="eastAsia" w:asciiTheme="minorEastAsia" w:hAnsiTheme="minorEastAsia" w:cstheme="minorEastAsia"/>
        </w:rPr>
        <w:t>本招标项目的监督部门为</w:t>
      </w:r>
      <w:r>
        <w:rPr>
          <w:rFonts w:hint="eastAsia" w:asciiTheme="minorEastAsia" w:hAnsiTheme="minorEastAsia" w:cstheme="minorEastAsia"/>
          <w:color w:val="000000"/>
          <w:szCs w:val="21"/>
          <w:shd w:val="clear" w:color="auto" w:fill="FFFFFF"/>
        </w:rPr>
        <w:t>扬州市民卡有限责任公司</w:t>
      </w:r>
      <w:r>
        <w:rPr>
          <w:rFonts w:hint="eastAsia" w:asciiTheme="minorEastAsia" w:hAnsiTheme="minorEastAsia" w:cstheme="minorEastAsia"/>
        </w:rPr>
        <w:t>。</w:t>
      </w:r>
    </w:p>
    <w:p>
      <w:pPr>
        <w:pStyle w:val="6"/>
        <w:numPr>
          <w:ilvl w:val="0"/>
          <w:numId w:val="2"/>
        </w:numPr>
        <w:snapToGrid w:val="0"/>
        <w:spacing w:before="0" w:after="0" w:line="360" w:lineRule="auto"/>
        <w:rPr>
          <w:rFonts w:cstheme="minorEastAsia"/>
        </w:rPr>
      </w:pPr>
      <w:bookmarkStart w:id="28" w:name="_Toc15814"/>
      <w:bookmarkStart w:id="29" w:name="_Toc40699917"/>
      <w:r>
        <w:rPr>
          <w:rFonts w:hint="eastAsia" w:cstheme="minorEastAsia"/>
        </w:rPr>
        <w:t>联系方式</w:t>
      </w:r>
      <w:bookmarkEnd w:id="28"/>
      <w:bookmarkEnd w:id="29"/>
    </w:p>
    <w:p>
      <w:pPr>
        <w:rPr>
          <w:rFonts w:cstheme="minorEastAsia"/>
        </w:rPr>
      </w:pPr>
    </w:p>
    <w:p>
      <w:pPr>
        <w:snapToGrid w:val="0"/>
        <w:spacing w:line="360" w:lineRule="auto"/>
        <w:ind w:firstLine="422"/>
      </w:pPr>
      <w:r>
        <w:rPr>
          <w:rFonts w:hint="eastAsia" w:ascii="宋体" w:hAnsi="宋体"/>
          <w:b/>
          <w:bCs/>
          <w:kern w:val="0"/>
          <w:szCs w:val="21"/>
        </w:rPr>
        <w:t>招标人：</w:t>
      </w:r>
      <w:r>
        <w:rPr>
          <w:rFonts w:hint="eastAsia" w:ascii="宋体" w:hAnsi="宋体"/>
          <w:b/>
          <w:bCs/>
          <w:kern w:val="0"/>
          <w:szCs w:val="21"/>
          <w:shd w:val="clear" w:color="auto" w:fill="FFFFFF"/>
        </w:rPr>
        <w:t>扬州市民卡有限责任公司</w:t>
      </w:r>
      <w:r>
        <w:rPr>
          <w:rFonts w:hint="eastAsia"/>
        </w:rPr>
        <w:t xml:space="preserve">                       </w:t>
      </w:r>
    </w:p>
    <w:p>
      <w:pPr>
        <w:snapToGrid w:val="0"/>
        <w:spacing w:line="360" w:lineRule="auto"/>
      </w:pPr>
      <w:r>
        <w:rPr>
          <w:rFonts w:hint="eastAsia"/>
        </w:rPr>
        <w:t>地    址：</w:t>
      </w:r>
      <w:r>
        <w:rPr>
          <w:rFonts w:hint="eastAsia" w:asciiTheme="minorEastAsia" w:hAnsiTheme="minorEastAsia" w:cstheme="minorEastAsia"/>
          <w:szCs w:val="21"/>
        </w:rPr>
        <w:t>扬州市史可法路58号</w:t>
      </w:r>
    </w:p>
    <w:p>
      <w:pPr>
        <w:snapToGrid w:val="0"/>
        <w:spacing w:line="360" w:lineRule="auto"/>
      </w:pPr>
      <w:r>
        <w:rPr>
          <w:rFonts w:hint="eastAsia"/>
        </w:rPr>
        <w:t>联 系 人：</w:t>
      </w:r>
      <w:r>
        <w:rPr>
          <w:rFonts w:hint="eastAsia" w:asciiTheme="minorEastAsia" w:hAnsiTheme="minorEastAsia" w:cstheme="minorEastAsia"/>
          <w:color w:val="000000"/>
          <w:szCs w:val="21"/>
          <w:shd w:val="clear" w:color="auto" w:fill="FFFFFF"/>
        </w:rPr>
        <w:t>赵晨</w:t>
      </w:r>
    </w:p>
    <w:p>
      <w:pPr>
        <w:snapToGrid w:val="0"/>
        <w:spacing w:line="360" w:lineRule="auto"/>
      </w:pPr>
      <w:r>
        <w:rPr>
          <w:rFonts w:hint="eastAsia"/>
        </w:rPr>
        <w:t>电    话：</w:t>
      </w:r>
      <w:r>
        <w:rPr>
          <w:rFonts w:hint="eastAsia" w:asciiTheme="minorEastAsia" w:hAnsiTheme="minorEastAsia" w:cstheme="minorEastAsia"/>
          <w:color w:val="000000"/>
          <w:szCs w:val="21"/>
          <w:shd w:val="clear" w:color="auto" w:fill="FFFFFF"/>
        </w:rPr>
        <w:t>18012139001</w:t>
      </w:r>
    </w:p>
    <w:p/>
    <w:p/>
    <w:p>
      <w:pPr>
        <w:snapToGrid w:val="0"/>
        <w:spacing w:line="360" w:lineRule="auto"/>
        <w:ind w:firstLine="422"/>
        <w:rPr>
          <w:rFonts w:ascii="宋体" w:hAnsi="宋体" w:eastAsia="宋体"/>
          <w:b/>
          <w:bCs/>
          <w:kern w:val="0"/>
          <w:szCs w:val="21"/>
        </w:rPr>
      </w:pPr>
      <w:r>
        <w:rPr>
          <w:rFonts w:hint="eastAsia" w:ascii="宋体" w:hAnsi="宋体"/>
          <w:b/>
          <w:bCs/>
          <w:kern w:val="0"/>
          <w:szCs w:val="21"/>
        </w:rPr>
        <w:t>招标代理机构：扬州市嘉诚造价咨询有限公司</w:t>
      </w:r>
    </w:p>
    <w:p>
      <w:pPr>
        <w:snapToGrid w:val="0"/>
        <w:spacing w:line="360" w:lineRule="auto"/>
      </w:pPr>
      <w:r>
        <w:rPr>
          <w:rFonts w:hint="eastAsia"/>
        </w:rPr>
        <w:t>地    址：扬州市史可法路58-21号城建置业办公楼三楼</w:t>
      </w:r>
    </w:p>
    <w:p>
      <w:pPr>
        <w:snapToGrid w:val="0"/>
        <w:spacing w:line="360" w:lineRule="auto"/>
      </w:pPr>
      <w:r>
        <w:rPr>
          <w:rFonts w:hint="eastAsia"/>
        </w:rPr>
        <w:t>联 系 人：冷信祥</w:t>
      </w:r>
    </w:p>
    <w:p>
      <w:pPr>
        <w:snapToGrid w:val="0"/>
        <w:spacing w:line="360" w:lineRule="auto"/>
      </w:pPr>
      <w:r>
        <w:rPr>
          <w:rFonts w:hint="eastAsia"/>
        </w:rPr>
        <w:t>电    话：18952758206</w:t>
      </w:r>
    </w:p>
    <w:p>
      <w:pPr>
        <w:snapToGrid w:val="0"/>
        <w:spacing w:line="360" w:lineRule="auto"/>
      </w:pPr>
      <w:r>
        <w:rPr>
          <w:rFonts w:hint="eastAsia"/>
        </w:rPr>
        <w:t xml:space="preserve">电子邮件：278132766@qq.com       </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bookmarkEnd w:id="1"/>
    <w:p>
      <w:pPr>
        <w:pStyle w:val="4"/>
        <w:snapToGrid w:val="0"/>
        <w:spacing w:before="0" w:after="0" w:line="360" w:lineRule="auto"/>
        <w:rPr>
          <w:rFonts w:asciiTheme="minorEastAsia" w:hAnsiTheme="minorEastAsia" w:eastAsiaTheme="minorEastAsia" w:cstheme="minorEastAsia"/>
        </w:rPr>
      </w:pPr>
      <w:bookmarkStart w:id="30" w:name="_Toc43907111"/>
      <w:r>
        <w:rPr>
          <w:rFonts w:hint="eastAsia" w:asciiTheme="minorEastAsia" w:hAnsiTheme="minorEastAsia" w:eastAsiaTheme="minorEastAsia" w:cstheme="minorEastAsia"/>
        </w:rPr>
        <w:t>第二章 投标人须知</w:t>
      </w:r>
      <w:bookmarkEnd w:id="30"/>
    </w:p>
    <w:p>
      <w:pPr>
        <w:pStyle w:val="5"/>
        <w:snapToGrid w:val="0"/>
        <w:spacing w:before="0" w:after="0" w:line="360" w:lineRule="auto"/>
        <w:rPr>
          <w:rFonts w:asciiTheme="minorEastAsia" w:hAnsiTheme="minorEastAsia" w:eastAsiaTheme="minorEastAsia" w:cstheme="minorEastAsia"/>
        </w:rPr>
      </w:pPr>
      <w:bookmarkStart w:id="31" w:name="_Toc43907112"/>
      <w:r>
        <w:rPr>
          <w:rFonts w:hint="eastAsia" w:asciiTheme="minorEastAsia" w:hAnsiTheme="minorEastAsia" w:eastAsiaTheme="minorEastAsia" w:cstheme="minorEastAsia"/>
        </w:rPr>
        <w:t>投标人须知前附表</w:t>
      </w:r>
      <w:bookmarkEnd w:id="31"/>
    </w:p>
    <w:p>
      <w:pPr>
        <w:snapToGrid w:val="0"/>
        <w:spacing w:line="360" w:lineRule="auto"/>
        <w:rPr>
          <w:rFonts w:asciiTheme="minorEastAsia" w:hAnsiTheme="minorEastAsia" w:cstheme="minorEastAsia"/>
        </w:rPr>
      </w:pPr>
    </w:p>
    <w:tbl>
      <w:tblPr>
        <w:tblStyle w:val="27"/>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9"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843"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条款名称</w:t>
            </w:r>
          </w:p>
        </w:tc>
        <w:tc>
          <w:tcPr>
            <w:tcW w:w="5726"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w:t>
            </w:r>
            <w:r>
              <w:rPr>
                <w:rFonts w:asciiTheme="minorEastAsia" w:hAnsiTheme="minorEastAsia" w:cstheme="minorEastAsia"/>
              </w:rPr>
              <w:t>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招标人</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名称：详见第一章第九条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地址：详见第一章第九条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联系人：详见第一章第九条 </w:t>
            </w:r>
            <w:r>
              <w:rPr>
                <w:rFonts w:hint="eastAsia" w:asciiTheme="minorEastAsia" w:hAnsiTheme="minorEastAsia" w:cstheme="minorEastAsia"/>
                <w:color w:val="FF0000"/>
              </w:rPr>
              <w:t xml:space="preserve">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电话：详见第一章第九条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w:t>
            </w:r>
            <w:r>
              <w:rPr>
                <w:rFonts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招标代理机构</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名称：详见第一章第九条  </w:t>
            </w:r>
          </w:p>
          <w:p>
            <w:pPr>
              <w:snapToGrid w:val="0"/>
              <w:ind w:firstLine="0" w:firstLineChars="0"/>
              <w:rPr>
                <w:rFonts w:asciiTheme="minorEastAsia" w:hAnsiTheme="minorEastAsia" w:cstheme="minorEastAsia"/>
                <w:color w:val="FF0000"/>
              </w:rPr>
            </w:pPr>
            <w:r>
              <w:rPr>
                <w:rFonts w:hint="eastAsia" w:asciiTheme="minorEastAsia" w:hAnsiTheme="minorEastAsia" w:cstheme="minorEastAsia"/>
              </w:rPr>
              <w:t xml:space="preserve">地址：详见第一章第九条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联系人：详见第一章第九条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电话：详见第一章第九条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w:t>
            </w:r>
            <w:r>
              <w:rPr>
                <w:rFonts w:asciiTheme="minorEastAsia" w:hAnsiTheme="minorEastAsia" w:cstheme="minorEastAsia"/>
              </w:rPr>
              <w:t>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招标项目名称</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资金来源及比例</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1.2.2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资金落实情况</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招标范围</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详见第一章第二条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交货期</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交货期：详见第一章第二条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交货地点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详见第一章第二条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1.3.4</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技术性能指标</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详见第五章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1.4.1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投标人资质条件、能力、信誉</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1.4.2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是否接受联合体投标</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1.4.3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投标人不得存在的其他情形</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5</w:t>
            </w:r>
            <w:r>
              <w:rPr>
                <w:rFonts w:hint="eastAsia" w:asciiTheme="minorEastAsia" w:hAnsiTheme="minorEastAsia" w:cstheme="minorEastAsia"/>
              </w:rPr>
              <w:t>.1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投标预备会</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不召开</w:t>
            </w:r>
          </w:p>
          <w:p>
            <w:pPr>
              <w:snapToGrid w:val="0"/>
              <w:ind w:firstLine="0" w:firstLineChars="0"/>
              <w:rPr>
                <w:rFonts w:asciiTheme="minorEastAsia" w:hAnsiTheme="minorEastAsia" w:cstheme="minorEastAsia"/>
              </w:rPr>
            </w:pPr>
            <w:r>
              <w:rPr>
                <w:rFonts w:hint="eastAsia" w:asciiTheme="minorEastAsia" w:hAnsiTheme="minorEastAsia" w:cstheme="minorEastAsia"/>
              </w:rPr>
              <w:t>□召开，召开时间：</w:t>
            </w:r>
          </w:p>
          <w:p>
            <w:pPr>
              <w:snapToGrid w:val="0"/>
              <w:ind w:firstLine="0" w:firstLineChars="0"/>
              <w:rPr>
                <w:rFonts w:asciiTheme="minorEastAsia" w:hAnsiTheme="minorEastAsia" w:cstheme="minorEastAsia"/>
              </w:rPr>
            </w:pPr>
            <w:r>
              <w:rPr>
                <w:rFonts w:hint="eastAsia" w:asciiTheme="minorEastAsia" w:hAnsiTheme="minorEastAsia" w:cstheme="minorEastAsia"/>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5</w:t>
            </w:r>
            <w:r>
              <w:rPr>
                <w:rFonts w:hint="eastAsia"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投标人在投标预备会前提出问题</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w:t>
            </w:r>
          </w:p>
          <w:p>
            <w:pPr>
              <w:snapToGrid w:val="0"/>
              <w:ind w:firstLine="0" w:firstLineChars="0"/>
              <w:rPr>
                <w:rFonts w:asciiTheme="minorEastAsia" w:hAnsiTheme="minorEastAsia" w:cstheme="minorEastAsia"/>
              </w:rPr>
            </w:pPr>
            <w:r>
              <w:rPr>
                <w:rFonts w:hint="eastAsia" w:asciiTheme="minorEastAsia" w:hAnsiTheme="minorEastAsia" w:cstheme="minorEastAsia"/>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6</w:t>
            </w:r>
            <w:r>
              <w:rPr>
                <w:rFonts w:hint="eastAsia" w:asciiTheme="minorEastAsia" w:hAnsiTheme="minorEastAsia" w:cstheme="minorEastAsia"/>
              </w:rPr>
              <w:t>.1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分包</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不允许</w:t>
            </w:r>
          </w:p>
          <w:p>
            <w:pPr>
              <w:snapToGrid w:val="0"/>
              <w:ind w:firstLine="0" w:firstLineChars="0"/>
              <w:rPr>
                <w:rFonts w:asciiTheme="minorEastAsia" w:hAnsiTheme="minorEastAsia" w:cstheme="minorEastAsia"/>
              </w:rPr>
            </w:pPr>
            <w:r>
              <w:rPr>
                <w:rFonts w:hint="eastAsia" w:asciiTheme="minorEastAsia" w:hAnsiTheme="minorEastAsia" w:cstheme="minorEastAsia"/>
              </w:rPr>
              <w:t>□允许，分包内容要求：</w:t>
            </w:r>
          </w:p>
          <w:p>
            <w:pPr>
              <w:snapToGrid w:val="0"/>
              <w:ind w:firstLine="0" w:firstLineChars="0"/>
              <w:rPr>
                <w:rFonts w:asciiTheme="minorEastAsia" w:hAnsiTheme="minorEastAsia" w:cstheme="minorEastAsia"/>
              </w:rPr>
            </w:pPr>
            <w:r>
              <w:rPr>
                <w:rFonts w:hint="eastAsia" w:asciiTheme="minorEastAsia" w:hAnsiTheme="minorEastAsia" w:cstheme="minorEastAsia"/>
              </w:rPr>
              <w:t>分包金额要求：</w:t>
            </w:r>
          </w:p>
          <w:p>
            <w:pPr>
              <w:snapToGrid w:val="0"/>
              <w:ind w:firstLine="0" w:firstLineChars="0"/>
              <w:rPr>
                <w:rFonts w:asciiTheme="minorEastAsia" w:hAnsiTheme="minorEastAsia" w:cstheme="minorEastAsia"/>
              </w:rPr>
            </w:pPr>
            <w:r>
              <w:rPr>
                <w:rFonts w:hint="eastAsia" w:asciiTheme="minorEastAsia" w:hAnsiTheme="minorEastAsia" w:cstheme="minorEastAsia"/>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6</w:t>
            </w:r>
            <w:r>
              <w:rPr>
                <w:rFonts w:hint="eastAsia" w:asciiTheme="minorEastAsia" w:hAnsiTheme="minorEastAsia" w:cstheme="minorEastAsia"/>
              </w:rPr>
              <w:t>.</w:t>
            </w:r>
            <w:r>
              <w:rPr>
                <w:rFonts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实质性要求和条件</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招标文件中标识“</w:t>
            </w:r>
            <w:r>
              <w:rPr>
                <w:rFonts w:hint="eastAsia" w:asciiTheme="minorEastAsia" w:hAnsiTheme="minorEastAsia" w:cstheme="minorEastAsia"/>
                <w:szCs w:val="21"/>
              </w:rPr>
              <w:t>★</w:t>
            </w:r>
            <w:r>
              <w:rPr>
                <w:rFonts w:hint="eastAsia" w:asciiTheme="minorEastAsia" w:hAnsiTheme="minorEastAsia" w:cstheme="minorEastAsia"/>
              </w:rPr>
              <w:t>”的条款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6</w:t>
            </w:r>
            <w:r>
              <w:rPr>
                <w:rFonts w:hint="eastAsia" w:asciiTheme="minorEastAsia" w:hAnsiTheme="minorEastAsia" w:cstheme="minorEastAsia"/>
              </w:rPr>
              <w:t>.</w:t>
            </w:r>
            <w:r>
              <w:rPr>
                <w:rFonts w:asciiTheme="minorEastAsia" w:hAnsiTheme="minorEastAsia" w:cstheme="minorEastAsia"/>
              </w:rPr>
              <w:t>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其他可以被接受的技术支持资料</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6</w:t>
            </w:r>
            <w:r>
              <w:rPr>
                <w:rFonts w:hint="eastAsia" w:asciiTheme="minorEastAsia" w:hAnsiTheme="minorEastAsia" w:cstheme="minorEastAsia"/>
              </w:rPr>
              <w:t>.</w:t>
            </w:r>
            <w:r>
              <w:rPr>
                <w:rFonts w:asciiTheme="minorEastAsia" w:hAnsiTheme="minorEastAsia" w:cstheme="minorEastAsia"/>
              </w:rPr>
              <w:t>4</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偏差</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不允许</w:t>
            </w:r>
          </w:p>
          <w:p>
            <w:pPr>
              <w:snapToGrid w:val="0"/>
              <w:ind w:firstLine="0" w:firstLineChars="0"/>
              <w:rPr>
                <w:rFonts w:asciiTheme="minorEastAsia" w:hAnsiTheme="minorEastAsia" w:cstheme="minorEastAsia"/>
              </w:rPr>
            </w:pPr>
            <w:r>
              <w:rPr>
                <w:rFonts w:hint="eastAsia" w:asciiTheme="minorEastAsia" w:hAnsiTheme="minorEastAsia" w:cstheme="minorEastAsia"/>
              </w:rPr>
              <w:t>□允许，偏差范围：无限制</w:t>
            </w:r>
          </w:p>
          <w:p>
            <w:pPr>
              <w:snapToGrid w:val="0"/>
              <w:ind w:firstLine="0" w:firstLineChars="0"/>
              <w:rPr>
                <w:rFonts w:asciiTheme="minorEastAsia" w:hAnsiTheme="minorEastAsia" w:cstheme="minorEastAsia"/>
              </w:rPr>
            </w:pPr>
            <w:r>
              <w:rPr>
                <w:rFonts w:hint="eastAsia" w:asciiTheme="minorEastAsia" w:hAnsiTheme="minorEastAsia" w:cstheme="minorEastAsia"/>
              </w:rPr>
              <w:t>最高项数：无限制</w:t>
            </w:r>
          </w:p>
          <w:p>
            <w:pPr>
              <w:snapToGrid w:val="0"/>
              <w:ind w:firstLine="0" w:firstLineChars="0"/>
              <w:rPr>
                <w:rFonts w:asciiTheme="minorEastAsia" w:hAnsiTheme="minorEastAsia" w:cstheme="minorEastAsia"/>
              </w:rPr>
            </w:pPr>
            <w:r>
              <w:rPr>
                <w:rFonts w:hint="eastAsia" w:asciiTheme="minorEastAsia" w:hAnsiTheme="minorEastAsia" w:cstheme="minorEastAsia"/>
                <w:b/>
                <w:bCs/>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构成招标文件的其他资料</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投标人要求澄清招标文件</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时间：投标截止时间前15日</w:t>
            </w:r>
          </w:p>
          <w:p>
            <w:pPr>
              <w:snapToGrid w:val="0"/>
              <w:ind w:firstLine="0" w:firstLineChars="0"/>
              <w:rPr>
                <w:rFonts w:asciiTheme="minorEastAsia" w:hAnsiTheme="minorEastAsia" w:cstheme="minorEastAsia"/>
              </w:rPr>
            </w:pPr>
            <w:r>
              <w:rPr>
                <w:rFonts w:hint="eastAsia" w:asciiTheme="minorEastAsia" w:hAnsiTheme="minorEastAsia" w:cstheme="minorEastAsia"/>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招标文件澄清发出的形式</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通过</w:t>
            </w:r>
            <w:r>
              <w:rPr>
                <w:rFonts w:hint="eastAsia" w:ascii="宋体" w:hAnsi="宋体" w:cs="宋体"/>
                <w:kern w:val="0"/>
                <w:u w:val="single"/>
              </w:rPr>
              <w:t>扬州市城建国有资产控股(集团）有限责任公司网站</w:t>
            </w:r>
            <w:r>
              <w:rPr>
                <w:rFonts w:hint="eastAsia" w:asciiTheme="minorEastAsia" w:hAnsiTheme="minorEastAsia" w:cstheme="minorEastAsia"/>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投标人确认收到招标文件澄清</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时间：收到后1日</w:t>
            </w:r>
          </w:p>
          <w:p>
            <w:pPr>
              <w:snapToGrid w:val="0"/>
              <w:ind w:firstLine="0" w:firstLineChars="0"/>
              <w:rPr>
                <w:rFonts w:asciiTheme="minorEastAsia" w:hAnsiTheme="minorEastAsia" w:cstheme="minorEastAsia"/>
              </w:rPr>
            </w:pPr>
            <w:r>
              <w:rPr>
                <w:rFonts w:hint="eastAsia" w:asciiTheme="minorEastAsia" w:hAnsiTheme="minorEastAsia" w:cstheme="minorEastAsia"/>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2.3.1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招标文件修改发出的形式</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通过</w:t>
            </w:r>
            <w:r>
              <w:rPr>
                <w:rFonts w:hint="eastAsia" w:ascii="宋体" w:hAnsi="宋体" w:cs="宋体"/>
                <w:kern w:val="0"/>
                <w:u w:val="single"/>
              </w:rPr>
              <w:t>扬州市城建国有资产控股(集团）有限责任公司网站</w:t>
            </w:r>
            <w:r>
              <w:rPr>
                <w:rFonts w:hint="eastAsia" w:asciiTheme="minorEastAsia" w:hAnsiTheme="minorEastAsia" w:cstheme="minorEastAsia"/>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2.3.2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投标人确认收到招标文件修改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时间：收到后1日</w:t>
            </w:r>
          </w:p>
          <w:p>
            <w:pPr>
              <w:snapToGrid w:val="0"/>
              <w:ind w:firstLine="0" w:firstLineChars="0"/>
              <w:rPr>
                <w:rFonts w:asciiTheme="minorEastAsia" w:hAnsiTheme="minorEastAsia" w:cstheme="minorEastAsia"/>
              </w:rPr>
            </w:pPr>
            <w:r>
              <w:rPr>
                <w:rFonts w:hint="eastAsia" w:asciiTheme="minorEastAsia" w:hAnsiTheme="minorEastAsia" w:cstheme="minorEastAsia"/>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构成投标文件的其他资料</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增值税税金的计算方法</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3.2.</w:t>
            </w:r>
            <w:r>
              <w:rPr>
                <w:rFonts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最高投标限价</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p>
            <w:pPr>
              <w:snapToGrid w:val="0"/>
              <w:ind w:firstLine="0" w:firstLineChars="0"/>
              <w:rPr>
                <w:rFonts w:asciiTheme="minorEastAsia" w:hAnsiTheme="minorEastAsia" w:cstheme="minorEastAsia"/>
              </w:rPr>
            </w:pPr>
            <w:r>
              <w:rPr>
                <w:rFonts w:ascii="MS Mincho" w:hAnsi="MS Mincho" w:eastAsia="MS Mincho" w:cs="MS Mincho"/>
                <w:color w:val="333333"/>
                <w:sz w:val="24"/>
                <w:szCs w:val="24"/>
                <w:shd w:val="clear" w:color="auto" w:fill="FFFFFF"/>
              </w:rPr>
              <w:t>☑</w:t>
            </w:r>
            <w:r>
              <w:rPr>
                <w:rFonts w:hint="eastAsia" w:asciiTheme="minorEastAsia" w:hAnsiTheme="minorEastAsia" w:cstheme="minorEastAsia"/>
              </w:rPr>
              <w:t>有，</w:t>
            </w:r>
            <w:r>
              <w:rPr>
                <w:rFonts w:hint="eastAsia" w:asciiTheme="minorEastAsia" w:hAnsiTheme="minorEastAsia" w:cstheme="minorEastAsia"/>
                <w:b/>
                <w:bCs/>
                <w:color w:val="FF0000"/>
              </w:rPr>
              <w:t>最高投标限价：包一：</w:t>
            </w:r>
            <w:r>
              <w:rPr>
                <w:rFonts w:asciiTheme="minorEastAsia" w:hAnsiTheme="minorEastAsia" w:cstheme="minorEastAsia"/>
                <w:b/>
                <w:bCs/>
                <w:color w:val="FF0000"/>
                <w:kern w:val="0"/>
                <w:szCs w:val="21"/>
              </w:rPr>
              <w:t>2</w:t>
            </w:r>
            <w:r>
              <w:rPr>
                <w:rFonts w:hint="eastAsia" w:asciiTheme="minorEastAsia" w:hAnsiTheme="minorEastAsia" w:cstheme="minorEastAsia"/>
                <w:b/>
                <w:bCs/>
                <w:color w:val="FF0000"/>
                <w:kern w:val="0"/>
                <w:szCs w:val="21"/>
              </w:rPr>
              <w:t>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3.2.</w:t>
            </w:r>
            <w:r>
              <w:rPr>
                <w:rFonts w:asciiTheme="minorEastAsia" w:hAnsiTheme="minorEastAsia" w:cstheme="minorEastAsia"/>
              </w:rPr>
              <w:t>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投标报价的其他要求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3.3.1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投标有效期</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3.3.2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投标保证金</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sym w:font="Wingdings 2" w:char="0052"/>
            </w:r>
            <w:r>
              <w:rPr>
                <w:rFonts w:hint="eastAsia" w:asciiTheme="minorEastAsia" w:hAnsiTheme="minorEastAsia" w:cstheme="minorEastAsia"/>
              </w:rPr>
              <w:t>无</w:t>
            </w:r>
          </w:p>
          <w:p>
            <w:pPr>
              <w:snapToGrid w:val="0"/>
              <w:ind w:firstLine="0" w:firstLineChars="0"/>
              <w:rPr>
                <w:rFonts w:asciiTheme="minorEastAsia" w:hAnsiTheme="minorEastAsia" w:cstheme="minorEastAsia"/>
                <w:color w:val="333333"/>
                <w:sz w:val="24"/>
                <w:szCs w:val="24"/>
                <w:shd w:val="clear" w:color="auto" w:fill="FFFFFF"/>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4.1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资格审查资料的特殊要求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sym w:font="Wingdings 2" w:char="00A3"/>
            </w:r>
            <w:r>
              <w:rPr>
                <w:rFonts w:hint="eastAsia" w:asciiTheme="minorEastAsia" w:hAnsiTheme="minorEastAsia" w:cstheme="minorEastAsia"/>
              </w:rPr>
              <w:t>无</w:t>
            </w:r>
          </w:p>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有，具体要求：详见第一章第三条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4</w:t>
            </w:r>
            <w:r>
              <w:rPr>
                <w:rFonts w:hint="eastAsia"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近年财务状况的年份要求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4</w:t>
            </w:r>
            <w:r>
              <w:rPr>
                <w:rFonts w:hint="eastAsia" w:asciiTheme="minorEastAsia" w:hAnsiTheme="minorEastAsia" w:cstheme="minorEastAsia"/>
              </w:rPr>
              <w:t>.3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近年完成的类似项目情况的时间要求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4</w:t>
            </w:r>
            <w:r>
              <w:rPr>
                <w:rFonts w:hint="eastAsia" w:asciiTheme="minorEastAsia" w:hAnsiTheme="minorEastAsia" w:cstheme="minorEastAsia"/>
              </w:rPr>
              <w:t>.5</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近年发生的诉讼及仲裁情况的时间要求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5</w:t>
            </w:r>
            <w:r>
              <w:rPr>
                <w:rFonts w:hint="eastAsia" w:asciiTheme="minorEastAsia" w:hAnsiTheme="minorEastAsia" w:cstheme="minorEastAsia"/>
              </w:rPr>
              <w:t>.1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是否允许递交备选投标方案</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不允许</w:t>
            </w:r>
          </w:p>
          <w:p>
            <w:pPr>
              <w:snapToGrid w:val="0"/>
              <w:ind w:firstLine="0" w:firstLineChars="0"/>
              <w:rPr>
                <w:rFonts w:asciiTheme="minorEastAsia" w:hAnsiTheme="minorEastAsia" w:cstheme="minorEastAsia"/>
              </w:rPr>
            </w:pPr>
            <w:r>
              <w:rPr>
                <w:rFonts w:hint="eastAsia" w:asciiTheme="minorEastAsia" w:hAnsiTheme="minorEastAsia" w:cstheme="minorEastAsia"/>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6</w:t>
            </w:r>
            <w:r>
              <w:rPr>
                <w:rFonts w:hint="eastAsia" w:asciiTheme="minorEastAsia" w:hAnsiTheme="minorEastAsia" w:cstheme="minorEastAsia"/>
              </w:rPr>
              <w:t>.3A（2）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投标文件副本份数及其他要求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投标文件副本份数：四份</w:t>
            </w:r>
          </w:p>
          <w:p>
            <w:pPr>
              <w:snapToGrid w:val="0"/>
              <w:ind w:firstLine="0" w:firstLineChars="0"/>
              <w:rPr>
                <w:rFonts w:asciiTheme="minorEastAsia" w:hAnsiTheme="minorEastAsia" w:cstheme="minorEastAsia"/>
              </w:rPr>
            </w:pPr>
            <w:r>
              <w:rPr>
                <w:rFonts w:hint="eastAsia" w:asciiTheme="minorEastAsia" w:hAnsiTheme="minorEastAsia" w:cstheme="minorEastAsia"/>
              </w:rPr>
              <w:t>是否要求提交电子版文件：是</w:t>
            </w:r>
          </w:p>
          <w:p>
            <w:pPr>
              <w:snapToGrid w:val="0"/>
              <w:ind w:firstLine="0" w:firstLineChars="0"/>
              <w:rPr>
                <w:rFonts w:asciiTheme="minorEastAsia" w:hAnsiTheme="minorEastAsia" w:cstheme="minorEastAsia"/>
              </w:rPr>
            </w:pPr>
            <w:r>
              <w:rPr>
                <w:rFonts w:hint="eastAsia" w:asciiTheme="minorEastAsia" w:hAnsiTheme="minorEastAsia" w:cstheme="minorEastAsia"/>
              </w:rPr>
              <w:t>其他要求：电子版文件一般应为PDF格式、U盘形式、随纸质正本文件一并提交。电子版文件用于辅助评标和平台存档，投标人需承担电子版文件和纸质正本文件不一致造成的不利后果。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6</w:t>
            </w:r>
            <w:r>
              <w:rPr>
                <w:rFonts w:hint="eastAsia" w:asciiTheme="minorEastAsia" w:hAnsiTheme="minorEastAsia" w:cstheme="minorEastAsia"/>
              </w:rPr>
              <w:t>.3A（3）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投标文件是否需分册装订</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sym w:font="Wingdings 2" w:char="00A3"/>
            </w:r>
            <w:r>
              <w:rPr>
                <w:rFonts w:hint="eastAsia" w:asciiTheme="minorEastAsia" w:hAnsiTheme="minorEastAsia" w:cstheme="minorEastAsia"/>
              </w:rPr>
              <w:t>不需要</w:t>
            </w:r>
          </w:p>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需要，分册装订要求：如投标人同时投两个分包，则须按包制作投标文件并分别装订成册。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4.1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封套上应载明的信息</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投标单位名称：</w:t>
            </w:r>
          </w:p>
          <w:p>
            <w:pPr>
              <w:snapToGrid w:val="0"/>
              <w:ind w:firstLine="0" w:firstLineChars="0"/>
              <w:rPr>
                <w:rFonts w:asciiTheme="minorEastAsia" w:hAnsiTheme="minorEastAsia" w:cstheme="minorEastAsia"/>
              </w:rPr>
            </w:pPr>
            <w:r>
              <w:rPr>
                <w:rFonts w:hint="eastAsia" w:asciiTheme="minorEastAsia" w:hAnsiTheme="minorEastAsia" w:cstheme="minorEastAsia"/>
              </w:rPr>
              <w:t>投标单位地址：</w:t>
            </w:r>
          </w:p>
          <w:p>
            <w:pPr>
              <w:snapToGrid w:val="0"/>
              <w:ind w:firstLine="0" w:firstLineChars="0"/>
              <w:rPr>
                <w:rFonts w:asciiTheme="minorEastAsia" w:hAnsiTheme="minorEastAsia" w:cstheme="minorEastAsia"/>
              </w:rPr>
            </w:pPr>
            <w:r>
              <w:rPr>
                <w:rFonts w:hint="eastAsia" w:asciiTheme="minorEastAsia" w:hAnsiTheme="minorEastAsia" w:cstheme="minorEastAsia"/>
              </w:rPr>
              <w:t>（项目名称）（设备名称）采购招标项目投标文件</w:t>
            </w:r>
          </w:p>
          <w:p>
            <w:pPr>
              <w:snapToGrid w:val="0"/>
              <w:ind w:firstLine="0" w:firstLineChars="0"/>
              <w:rPr>
                <w:rFonts w:asciiTheme="minorEastAsia" w:hAnsiTheme="minorEastAsia" w:cstheme="minorEastAsia"/>
              </w:rPr>
            </w:pPr>
            <w:r>
              <w:rPr>
                <w:rFonts w:hint="eastAsia" w:asciiTheme="minorEastAsia" w:hAnsiTheme="minorEastAsia" w:cstheme="minorEastAsia"/>
              </w:rPr>
              <w:t>招标编号：</w:t>
            </w:r>
          </w:p>
          <w:p>
            <w:pPr>
              <w:snapToGrid w:val="0"/>
              <w:ind w:firstLine="0" w:firstLineChars="0"/>
              <w:rPr>
                <w:rFonts w:asciiTheme="minorEastAsia" w:hAnsiTheme="minorEastAsia" w:cstheme="minorEastAsia"/>
              </w:rPr>
            </w:pPr>
            <w:r>
              <w:rPr>
                <w:rFonts w:hint="eastAsia" w:asciiTheme="minorEastAsia" w:hAnsiTheme="minorEastAsia" w:cstheme="minorEastAsia"/>
              </w:rPr>
              <w:t>标段名称：</w:t>
            </w:r>
          </w:p>
          <w:p>
            <w:pPr>
              <w:snapToGrid w:val="0"/>
              <w:ind w:firstLine="0" w:firstLineChars="0"/>
              <w:rPr>
                <w:rFonts w:asciiTheme="minorEastAsia" w:hAnsiTheme="minorEastAsia" w:cstheme="minorEastAsia"/>
              </w:rPr>
            </w:pPr>
            <w:r>
              <w:rPr>
                <w:rFonts w:hint="eastAsia" w:asciiTheme="minorEastAsia" w:hAnsiTheme="minorEastAsia" w:cstheme="minorEastAsia"/>
              </w:rPr>
              <w:t>标段编号：</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在 </w:t>
            </w: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 xml:space="preserve">日 </w:t>
            </w:r>
            <w:r>
              <w:rPr>
                <w:rFonts w:hint="eastAsia" w:asciiTheme="minorEastAsia" w:hAnsiTheme="minorEastAsia" w:cstheme="minorEastAsia"/>
              </w:rPr>
              <w:tab/>
            </w:r>
            <w:r>
              <w:rPr>
                <w:rFonts w:hint="eastAsia" w:asciiTheme="minorEastAsia" w:hAnsiTheme="minorEastAsia" w:cstheme="minorEastAsia"/>
              </w:rPr>
              <w:t>时前不得开启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4.2.1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投标截止时间</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详见第一章第五条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4.2.2（A）</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递交投标文件地点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详见第一章第五条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4.2.3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投标文件是否退还</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否</w:t>
            </w:r>
          </w:p>
          <w:p>
            <w:pPr>
              <w:snapToGrid w:val="0"/>
              <w:ind w:firstLine="0" w:firstLineChars="0"/>
              <w:rPr>
                <w:rFonts w:asciiTheme="minorEastAsia" w:hAnsiTheme="minorEastAsia" w:cstheme="minorEastAsia"/>
              </w:rPr>
            </w:pPr>
            <w:r>
              <w:rPr>
                <w:rFonts w:hint="eastAsia" w:asciiTheme="minorEastAsia" w:hAnsiTheme="minorEastAsia" w:cstheme="minorEastAsia"/>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5.1（A）</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开标时间和地点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开标时间：详见第一章第六条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开标地点：详见第一章第六条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5.2（4）（A）</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开标程序</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6.1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评标委员会的组建</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评标委员会构成：5人</w:t>
            </w:r>
          </w:p>
          <w:p>
            <w:pPr>
              <w:snapToGrid w:val="0"/>
              <w:ind w:firstLine="0" w:firstLineChars="0"/>
              <w:rPr>
                <w:rFonts w:asciiTheme="minorEastAsia" w:hAnsiTheme="minorEastAsia" w:cstheme="minorEastAsia"/>
              </w:rPr>
            </w:pPr>
            <w:r>
              <w:rPr>
                <w:rFonts w:hint="eastAsia" w:asciiTheme="minorEastAsia" w:hAnsiTheme="minorEastAsia" w:cstheme="minorEastAsia"/>
              </w:rPr>
              <w:t>其中招标人代表1人，专家 4人；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6.</w:t>
            </w:r>
            <w:r>
              <w:rPr>
                <w:rFonts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评标委员会推荐中标候选人的人数</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7.1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中标候选人公示媒介及期限</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公示媒介：</w:t>
            </w:r>
            <w:r>
              <w:rPr>
                <w:rFonts w:hint="eastAsia" w:ascii="宋体" w:hAnsi="宋体" w:cs="宋体"/>
                <w:kern w:val="0"/>
              </w:rPr>
              <w:t>扬州市城建国有资产控股(集团）有限责任公司网站</w:t>
            </w:r>
          </w:p>
          <w:p>
            <w:pPr>
              <w:snapToGrid w:val="0"/>
              <w:ind w:firstLine="0" w:firstLineChars="0"/>
              <w:rPr>
                <w:rFonts w:asciiTheme="minorEastAsia" w:hAnsiTheme="minorEastAsia" w:cstheme="minorEastAsia"/>
              </w:rPr>
            </w:pPr>
            <w:r>
              <w:rPr>
                <w:rFonts w:hint="eastAsia" w:asciiTheme="minorEastAsia" w:hAnsiTheme="minorEastAsia" w:cstheme="minorEastAsia"/>
              </w:rPr>
              <w:t>公示期限：不少于3日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7.</w:t>
            </w:r>
            <w:r>
              <w:rPr>
                <w:rFonts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是否授权评标委员会确定中标人</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□是</w:t>
            </w:r>
          </w:p>
          <w:p>
            <w:pPr>
              <w:snapToGrid w:val="0"/>
              <w:ind w:firstLine="0" w:firstLineChars="0"/>
              <w:rPr>
                <w:rFonts w:asciiTheme="minorEastAsia" w:hAnsiTheme="minorEastAsia" w:cstheme="minorEastAsia"/>
              </w:rPr>
            </w:pPr>
            <w:r>
              <w:rPr>
                <w:rFonts w:ascii="MS Mincho" w:hAnsi="MS Mincho" w:eastAsia="MS Mincho" w:cs="MS Mincho"/>
                <w:color w:val="333333"/>
                <w:sz w:val="24"/>
                <w:szCs w:val="24"/>
                <w:shd w:val="clear" w:color="auto" w:fill="FFFFFF"/>
              </w:rPr>
              <w:t>☑</w:t>
            </w:r>
            <w:r>
              <w:rPr>
                <w:rFonts w:hint="eastAsia" w:asciiTheme="minorEastAsia" w:hAnsiTheme="minorEastAsia" w:cstheme="minorEastAsia"/>
              </w:rPr>
              <w:t>否，招标人确定排名第一的中标候选人为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7.</w:t>
            </w:r>
            <w:r>
              <w:rPr>
                <w:rFonts w:asciiTheme="minorEastAsia" w:hAnsiTheme="minorEastAsia" w:cstheme="minorEastAsia"/>
              </w:rPr>
              <w:t>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履约保证金</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是否要求中标人提交履约保证金：</w:t>
            </w:r>
          </w:p>
          <w:p>
            <w:pPr>
              <w:snapToGrid w:val="0"/>
              <w:ind w:firstLine="0" w:firstLineChars="0"/>
              <w:rPr>
                <w:rFonts w:asciiTheme="minorEastAsia" w:hAnsiTheme="minorEastAsia" w:cstheme="minorEastAsia"/>
              </w:rPr>
            </w:pPr>
            <w:r>
              <w:rPr>
                <w:rFonts w:hint="eastAsia" w:asciiTheme="minorEastAsia" w:hAnsiTheme="minorEastAsia" w:cstheme="minorEastAsia"/>
              </w:rPr>
              <w:t>□要求，履约保证金的形式：银行保函</w:t>
            </w:r>
          </w:p>
          <w:p>
            <w:pPr>
              <w:snapToGrid w:val="0"/>
              <w:ind w:firstLine="0" w:firstLineChars="0"/>
              <w:rPr>
                <w:rFonts w:asciiTheme="minorEastAsia" w:hAnsiTheme="minorEastAsia" w:cstheme="minorEastAsia"/>
              </w:rPr>
            </w:pPr>
            <w:r>
              <w:rPr>
                <w:rFonts w:hint="eastAsia" w:asciiTheme="minorEastAsia" w:hAnsiTheme="minorEastAsia" w:cstheme="minorEastAsia"/>
              </w:rPr>
              <w:t>履约保证金的金额：合同额的10%</w:t>
            </w:r>
          </w:p>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asciiTheme="minorEastAsia" w:hAnsiTheme="minorEastAsia" w:cstheme="minorEastAsia"/>
              </w:rPr>
              <w:t>8</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是否采用电子招标投标</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□否</w:t>
            </w:r>
          </w:p>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是，具体要求：部分流程采用电子招标投标，详见第一章第四条、第二章第2.2.2项、第2.3.1项、第3.4.1项、第3.7.3（2）目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restart"/>
            <w:vAlign w:val="center"/>
          </w:tcPr>
          <w:p>
            <w:pPr>
              <w:snapToGrid w:val="0"/>
              <w:ind w:firstLine="0" w:firstLineChars="0"/>
              <w:jc w:val="center"/>
              <w:rPr>
                <w:rFonts w:asciiTheme="minorEastAsia" w:hAnsiTheme="minorEastAsia" w:cstheme="minorEastAsia"/>
              </w:rPr>
            </w:pPr>
            <w:r>
              <w:rPr>
                <w:rFonts w:asciiTheme="minorEastAsia" w:hAnsiTheme="minorEastAsia" w:cstheme="minorEastAsia"/>
              </w:rPr>
              <w:t>9</w:t>
            </w:r>
          </w:p>
        </w:tc>
        <w:tc>
          <w:tcPr>
            <w:tcW w:w="18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需要补充的其他内容</w:t>
            </w:r>
          </w:p>
        </w:tc>
        <w:tc>
          <w:tcPr>
            <w:tcW w:w="5726" w:type="dxa"/>
            <w:vAlign w:val="center"/>
          </w:tcPr>
          <w:p>
            <w:pPr>
              <w:snapToGrid w:val="0"/>
              <w:ind w:firstLine="0" w:firstLineChars="0"/>
              <w:rPr>
                <w:rFonts w:asciiTheme="minorEastAsia" w:hAnsiTheme="minorEastAsia" w:cstheme="minorEastAsia"/>
              </w:rPr>
            </w:pPr>
            <w:r>
              <w:rPr>
                <w:rFonts w:asciiTheme="minorEastAsia" w:hAnsiTheme="minorEastAsia" w:cstheme="minorEastAsia"/>
              </w:rPr>
              <w:t>9</w:t>
            </w:r>
            <w:r>
              <w:rPr>
                <w:rFonts w:hint="eastAsia" w:asciiTheme="minorEastAsia" w:hAnsiTheme="minorEastAsia" w:cstheme="minorEastAsia"/>
              </w:rPr>
              <w:t>.1费用</w:t>
            </w:r>
          </w:p>
          <w:p>
            <w:pPr>
              <w:snapToGrid w:val="0"/>
              <w:rPr>
                <w:rFonts w:ascii="宋体" w:hAnsi="宋体" w:cs="宋体"/>
                <w:kern w:val="0"/>
              </w:rPr>
            </w:pPr>
            <w:r>
              <w:rPr>
                <w:rFonts w:hint="eastAsia" w:asciiTheme="minorEastAsia" w:hAnsiTheme="minorEastAsia" w:cstheme="minorEastAsia"/>
              </w:rPr>
              <w:t xml:space="preserve"> </w:t>
            </w:r>
            <w:r>
              <w:rPr>
                <w:rFonts w:hint="eastAsia" w:ascii="宋体" w:hAnsi="宋体" w:cs="宋体"/>
                <w:kern w:val="0"/>
              </w:rPr>
              <w:t>1、</w:t>
            </w:r>
            <w:r>
              <w:rPr>
                <w:rFonts w:hint="eastAsia" w:ascii="宋体" w:hAnsi="宋体" w:cs="宋体"/>
                <w:b/>
                <w:bCs/>
                <w:kern w:val="0"/>
              </w:rPr>
              <w:t>招标代理服务费用：</w:t>
            </w:r>
            <w:r>
              <w:rPr>
                <w:rFonts w:hint="eastAsia" w:ascii="宋体" w:hAnsi="宋体" w:cs="宋体"/>
                <w:kern w:val="0"/>
              </w:rPr>
              <w:t>中标人参照《招标代理服务费管理暂行办法》（国家发展计划委员会计价格【2002】1980号）代理货物招标收费基准费率80%计算，在领取中标通知书前向招标代理机构支付招标服务费。本项费用无需在投标报价表中单列，但包含在总价中。</w:t>
            </w:r>
          </w:p>
          <w:p>
            <w:pPr>
              <w:snapToGrid w:val="0"/>
              <w:rPr>
                <w:rFonts w:ascii="宋体" w:hAnsi="宋体" w:cs="宋体"/>
                <w:kern w:val="0"/>
              </w:rPr>
            </w:pPr>
            <w:r>
              <w:rPr>
                <w:rFonts w:hint="eastAsia" w:ascii="宋体" w:hAnsi="宋体" w:cs="宋体"/>
                <w:kern w:val="0"/>
              </w:rPr>
              <w:t>2、</w:t>
            </w:r>
            <w:r>
              <w:rPr>
                <w:rFonts w:hint="eastAsia" w:ascii="宋体" w:hAnsi="宋体" w:cs="宋体"/>
                <w:b/>
                <w:bCs/>
                <w:kern w:val="0"/>
              </w:rPr>
              <w:t>评委专家评审费：</w:t>
            </w:r>
            <w:r>
              <w:rPr>
                <w:rFonts w:hint="eastAsia" w:ascii="宋体" w:hAnsi="宋体" w:cs="宋体"/>
                <w:kern w:val="0"/>
              </w:rPr>
              <w:t>专家评审费暂按2500元（500元/人次)计取，按实结算；专家评审费不在报价中单列，但包含在总价中，由成交供应商支付给代理机构.</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continue"/>
            <w:vAlign w:val="center"/>
          </w:tcPr>
          <w:p>
            <w:pPr>
              <w:snapToGrid w:val="0"/>
              <w:ind w:firstLine="0" w:firstLineChars="0"/>
              <w:jc w:val="center"/>
              <w:rPr>
                <w:rFonts w:asciiTheme="minorEastAsia" w:hAnsiTheme="minorEastAsia" w:cstheme="minorEastAsia"/>
              </w:rPr>
            </w:pPr>
          </w:p>
        </w:tc>
        <w:tc>
          <w:tcPr>
            <w:tcW w:w="1843" w:type="dxa"/>
            <w:vMerge w:val="continue"/>
            <w:vAlign w:val="center"/>
          </w:tcPr>
          <w:p>
            <w:pPr>
              <w:snapToGrid w:val="0"/>
              <w:ind w:firstLine="0" w:firstLineChars="0"/>
              <w:jc w:val="center"/>
              <w:rPr>
                <w:rFonts w:asciiTheme="minorEastAsia" w:hAnsiTheme="minorEastAsia" w:cstheme="minorEastAsia"/>
              </w:rPr>
            </w:pPr>
          </w:p>
        </w:tc>
        <w:tc>
          <w:tcPr>
            <w:tcW w:w="5726" w:type="dxa"/>
            <w:vAlign w:val="center"/>
          </w:tcPr>
          <w:p>
            <w:pPr>
              <w:snapToGrid w:val="0"/>
              <w:ind w:firstLine="0" w:firstLineChars="0"/>
              <w:rPr>
                <w:rFonts w:asciiTheme="minorEastAsia" w:hAnsiTheme="minorEastAsia" w:cstheme="minorEastAsia"/>
              </w:rPr>
            </w:pPr>
            <w:r>
              <w:rPr>
                <w:rFonts w:asciiTheme="minorEastAsia" w:hAnsiTheme="minorEastAsia" w:cstheme="minorEastAsia"/>
              </w:rPr>
              <w:t>9</w:t>
            </w:r>
            <w:r>
              <w:rPr>
                <w:rFonts w:hint="eastAsia" w:asciiTheme="minorEastAsia" w:hAnsiTheme="minorEastAsia" w:cstheme="minorEastAsia"/>
              </w:rPr>
              <w:t>.2重新招标</w:t>
            </w:r>
          </w:p>
          <w:p>
            <w:pPr>
              <w:snapToGrid w:val="0"/>
              <w:ind w:firstLine="0" w:firstLineChars="0"/>
              <w:rPr>
                <w:rFonts w:asciiTheme="minorEastAsia" w:hAnsiTheme="minorEastAsia" w:cstheme="minorEastAsia"/>
              </w:rPr>
            </w:pPr>
            <w:r>
              <w:rPr>
                <w:rFonts w:asciiTheme="minorEastAsia" w:hAnsiTheme="minorEastAsia" w:cstheme="minorEastAsia"/>
              </w:rPr>
              <w:t>9</w:t>
            </w:r>
            <w:r>
              <w:rPr>
                <w:rFonts w:hint="eastAsia" w:asciiTheme="minorEastAsia" w:hAnsiTheme="minorEastAsia" w:cstheme="minorEastAsia"/>
              </w:rPr>
              <w:t>.2.1有下列情形之一的，招标人将重新招标：</w:t>
            </w:r>
          </w:p>
          <w:p>
            <w:pPr>
              <w:snapToGrid w:val="0"/>
              <w:ind w:firstLine="0" w:firstLineChars="0"/>
              <w:rPr>
                <w:rFonts w:asciiTheme="minorEastAsia" w:hAnsiTheme="minorEastAsia" w:cstheme="minorEastAsia"/>
              </w:rPr>
            </w:pPr>
            <w:r>
              <w:rPr>
                <w:rFonts w:hint="eastAsia" w:asciiTheme="minorEastAsia" w:hAnsiTheme="minorEastAsia" w:cstheme="minorEastAsia"/>
              </w:rPr>
              <w:t>（1）招标文件获取截止时间止，获取招标文件的潜在投标人少于3个的；</w:t>
            </w:r>
          </w:p>
          <w:p>
            <w:pPr>
              <w:snapToGrid w:val="0"/>
              <w:ind w:firstLine="0" w:firstLineChars="0"/>
              <w:rPr>
                <w:rFonts w:asciiTheme="minorEastAsia" w:hAnsiTheme="minorEastAsia" w:cstheme="minorEastAsia"/>
              </w:rPr>
            </w:pPr>
            <w:r>
              <w:rPr>
                <w:rFonts w:hint="eastAsia" w:asciiTheme="minorEastAsia" w:hAnsiTheme="minorEastAsia" w:cstheme="minorEastAsia"/>
              </w:rPr>
              <w:t>（2）投标截止时间止，提交投标文件的投标人少于3个的；</w:t>
            </w:r>
          </w:p>
          <w:p>
            <w:pPr>
              <w:snapToGrid w:val="0"/>
              <w:ind w:firstLine="0" w:firstLineChars="0"/>
              <w:rPr>
                <w:rFonts w:asciiTheme="minorEastAsia" w:hAnsiTheme="minorEastAsia" w:cstheme="minorEastAsia"/>
              </w:rPr>
            </w:pPr>
            <w:r>
              <w:rPr>
                <w:rFonts w:hint="eastAsia" w:asciiTheme="minorEastAsia" w:hAnsiTheme="minorEastAsia" w:cstheme="minorEastAsia"/>
              </w:rPr>
              <w:t>（3）经评标委员会评审后否决所有投标的；</w:t>
            </w:r>
          </w:p>
          <w:p>
            <w:pPr>
              <w:snapToGrid w:val="0"/>
              <w:ind w:firstLine="0" w:firstLineChars="0"/>
              <w:rPr>
                <w:rFonts w:asciiTheme="minorEastAsia" w:hAnsiTheme="minorEastAsia" w:cstheme="minorEastAsia"/>
              </w:rPr>
            </w:pPr>
            <w:r>
              <w:rPr>
                <w:rFonts w:hint="eastAsia" w:asciiTheme="minorEastAsia" w:hAnsiTheme="minorEastAsia" w:cstheme="minorEastAsia"/>
              </w:rPr>
              <w:t>（4）评标委员会否决一部分投标后其他有效投标不足3个使得投标明显缺乏竞争，决定否决全部投标的；</w:t>
            </w:r>
          </w:p>
          <w:p>
            <w:pPr>
              <w:snapToGrid w:val="0"/>
              <w:ind w:firstLine="0" w:firstLineChars="0"/>
              <w:rPr>
                <w:rFonts w:asciiTheme="minorEastAsia" w:hAnsiTheme="minorEastAsia" w:cstheme="minorEastAsia"/>
              </w:rPr>
            </w:pPr>
            <w:r>
              <w:rPr>
                <w:rFonts w:hint="eastAsia" w:asciiTheme="minorEastAsia" w:hAnsiTheme="minorEastAsia" w:cstheme="minorEastAsia"/>
              </w:rPr>
              <w:t>（5）根据第二章第3.3.3项规定，同意延长投标有效期的投标人少于3个的；</w:t>
            </w:r>
          </w:p>
          <w:p>
            <w:pPr>
              <w:snapToGrid w:val="0"/>
              <w:ind w:firstLine="0" w:firstLineChars="0"/>
              <w:rPr>
                <w:rFonts w:asciiTheme="minorEastAsia" w:hAnsiTheme="minorEastAsia" w:cstheme="minorEastAsia"/>
              </w:rPr>
            </w:pPr>
            <w:r>
              <w:rPr>
                <w:rFonts w:hint="eastAsia" w:asciiTheme="minorEastAsia" w:hAnsiTheme="minorEastAsia" w:cstheme="minorEastAsia"/>
              </w:rPr>
              <w:t>（6）根据第二章第7.4款规定，依次确定其他中标候选人与招标人预期差距较大，或者对招标人明显不利的。</w:t>
            </w:r>
          </w:p>
          <w:p>
            <w:pPr>
              <w:snapToGrid w:val="0"/>
              <w:ind w:firstLine="0" w:firstLineChars="0"/>
              <w:rPr>
                <w:rFonts w:asciiTheme="minorEastAsia" w:hAnsiTheme="minorEastAsia" w:cstheme="minorEastAsia"/>
              </w:rPr>
            </w:pPr>
            <w:r>
              <w:rPr>
                <w:rFonts w:asciiTheme="minorEastAsia" w:hAnsiTheme="minorEastAsia" w:cstheme="minorEastAsia"/>
              </w:rPr>
              <w:t>9</w:t>
            </w:r>
            <w:r>
              <w:rPr>
                <w:rFonts w:hint="eastAsia" w:asciiTheme="minorEastAsia" w:hAnsiTheme="minorEastAsia" w:cstheme="minorEastAsia"/>
              </w:rPr>
              <w:t>.2.2有第二章第7.4款、第三章第3.1.2（2）目所列情形的投标人不得参与该项目的重新招标。</w:t>
            </w:r>
          </w:p>
          <w:p>
            <w:pPr>
              <w:snapToGrid w:val="0"/>
              <w:ind w:firstLine="0" w:firstLineChars="0"/>
              <w:rPr>
                <w:rFonts w:asciiTheme="minorEastAsia" w:hAnsiTheme="minorEastAsia" w:cstheme="minorEastAsia"/>
              </w:rPr>
            </w:pPr>
            <w:r>
              <w:rPr>
                <w:rFonts w:asciiTheme="minorEastAsia" w:hAnsiTheme="minorEastAsia" w:cstheme="minorEastAsia"/>
              </w:rPr>
              <w:t>9</w:t>
            </w:r>
            <w:r>
              <w:rPr>
                <w:rFonts w:hint="eastAsia" w:asciiTheme="minorEastAsia" w:hAnsiTheme="minorEastAsia" w:cstheme="minorEastAsia"/>
              </w:rPr>
              <w:t>.2.3重新招标后仍存在第二章第10.2.1项情形的，按国家有关规定需要履行审批、核准手续的依法必须进行招标的项目，报项目审批、核准部门审批、核准后可以不再进行招标；其他工程建设项目，招标人可自行决定不再进行招标。</w:t>
            </w:r>
          </w:p>
        </w:tc>
      </w:tr>
    </w:tbl>
    <w:p>
      <w:pPr>
        <w:snapToGrid w:val="0"/>
        <w:spacing w:line="360" w:lineRule="auto"/>
        <w:ind w:firstLine="0" w:firstLineChars="0"/>
        <w:rPr>
          <w:rFonts w:asciiTheme="minorEastAsia" w:hAnsiTheme="minorEastAsia" w:cstheme="minorEastAsia"/>
        </w:rPr>
      </w:pPr>
    </w:p>
    <w:p>
      <w:pPr>
        <w:pStyle w:val="6"/>
        <w:snapToGrid w:val="0"/>
        <w:spacing w:before="0" w:after="0" w:line="360" w:lineRule="auto"/>
        <w:rPr>
          <w:rFonts w:cstheme="minorEastAsia"/>
        </w:rPr>
      </w:pPr>
      <w:bookmarkStart w:id="32" w:name="_Toc43907113"/>
      <w:r>
        <w:rPr>
          <w:rFonts w:hint="eastAsia" w:cstheme="minorEastAsia"/>
        </w:rPr>
        <w:t>1.总则</w:t>
      </w:r>
      <w:bookmarkEnd w:id="32"/>
    </w:p>
    <w:p>
      <w:pPr>
        <w:pStyle w:val="7"/>
        <w:snapToGrid w:val="0"/>
        <w:spacing w:before="0" w:after="0" w:line="360" w:lineRule="auto"/>
        <w:rPr>
          <w:rFonts w:cstheme="minorEastAsia"/>
        </w:rPr>
      </w:pPr>
      <w:bookmarkStart w:id="33" w:name="_Toc43907114"/>
      <w:r>
        <w:rPr>
          <w:rFonts w:hint="eastAsia" w:cstheme="minorEastAsia"/>
        </w:rPr>
        <w:t>1.1招标项目概况</w:t>
      </w:r>
      <w:bookmarkEnd w:id="33"/>
    </w:p>
    <w:p>
      <w:pPr>
        <w:snapToGrid w:val="0"/>
        <w:spacing w:line="360" w:lineRule="auto"/>
        <w:rPr>
          <w:rFonts w:asciiTheme="minorEastAsia" w:hAnsiTheme="minorEastAsia" w:cstheme="minorEastAsia"/>
        </w:rPr>
      </w:pPr>
      <w:r>
        <w:rPr>
          <w:rFonts w:hint="eastAsia" w:asciiTheme="minorEastAsia" w:hAnsiTheme="minorEastAsia" w:cstheme="minorEastAsia"/>
        </w:rPr>
        <w:t>1.1.1根据《中华人民共和国招标投标法》、《中华人民共和国招标投标法实施条例》等有关法律、法规和规章的规定，本招标项目已具备招标条件，现对设备采购进行招标。</w:t>
      </w:r>
    </w:p>
    <w:p>
      <w:pPr>
        <w:snapToGrid w:val="0"/>
        <w:spacing w:line="360" w:lineRule="auto"/>
        <w:rPr>
          <w:rFonts w:asciiTheme="minorEastAsia" w:hAnsiTheme="minorEastAsia" w:cstheme="minorEastAsia"/>
        </w:rPr>
      </w:pPr>
      <w:r>
        <w:rPr>
          <w:rFonts w:hint="eastAsia" w:asciiTheme="minorEastAsia" w:hAnsiTheme="minorEastAsia" w:cstheme="minorEastAsia"/>
        </w:rPr>
        <w:t>1.1.2招标人：见投标人须知前附表。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1.1.3招标代理机构：见投标人须知前附表。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1.1.4招标项目名称：见投标人须知前附表。</w:t>
      </w:r>
    </w:p>
    <w:p>
      <w:pPr>
        <w:pStyle w:val="7"/>
        <w:snapToGrid w:val="0"/>
        <w:spacing w:before="0" w:after="0" w:line="360" w:lineRule="auto"/>
        <w:rPr>
          <w:rFonts w:cstheme="minorEastAsia"/>
        </w:rPr>
      </w:pPr>
      <w:bookmarkStart w:id="34" w:name="_Toc43907115"/>
      <w:r>
        <w:rPr>
          <w:rFonts w:hint="eastAsia" w:cstheme="minorEastAsia"/>
        </w:rPr>
        <w:t>1.2招标项目的资金来源和落实情况</w:t>
      </w:r>
      <w:bookmarkEnd w:id="34"/>
    </w:p>
    <w:p>
      <w:pPr>
        <w:snapToGrid w:val="0"/>
        <w:spacing w:line="360" w:lineRule="auto"/>
        <w:rPr>
          <w:rFonts w:asciiTheme="minorEastAsia" w:hAnsiTheme="minorEastAsia" w:cstheme="minorEastAsia"/>
        </w:rPr>
      </w:pPr>
      <w:r>
        <w:rPr>
          <w:rFonts w:hint="eastAsia" w:asciiTheme="minorEastAsia" w:hAnsiTheme="minorEastAsia" w:cstheme="minorEastAsia"/>
        </w:rPr>
        <w:t>1.2.1资金来源及比例：见投标人须知前附表。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1.2.2资金落实情况：见投标人须知前附表。</w:t>
      </w:r>
    </w:p>
    <w:p>
      <w:pPr>
        <w:pStyle w:val="7"/>
        <w:snapToGrid w:val="0"/>
        <w:spacing w:before="0" w:after="0" w:line="360" w:lineRule="auto"/>
        <w:rPr>
          <w:rFonts w:cstheme="minorEastAsia"/>
        </w:rPr>
      </w:pPr>
      <w:bookmarkStart w:id="35" w:name="_Toc43907116"/>
      <w:r>
        <w:rPr>
          <w:rFonts w:hint="eastAsia" w:cstheme="minorEastAsia"/>
        </w:rPr>
        <w:t>1.3招标范围、交货期、交货地点和技术性能指标</w:t>
      </w:r>
      <w:bookmarkEnd w:id="35"/>
    </w:p>
    <w:p>
      <w:pPr>
        <w:snapToGrid w:val="0"/>
        <w:spacing w:line="360" w:lineRule="auto"/>
        <w:rPr>
          <w:rFonts w:asciiTheme="minorEastAsia" w:hAnsiTheme="minorEastAsia" w:cstheme="minorEastAsia"/>
        </w:rPr>
      </w:pPr>
      <w:r>
        <w:rPr>
          <w:rFonts w:hint="eastAsia" w:asciiTheme="minorEastAsia" w:hAnsiTheme="minorEastAsia" w:cstheme="minorEastAsia"/>
        </w:rPr>
        <w:t>1.3.1招标范围：见投标人须知前附表。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1.3.2交货期：见投标人须知前附表。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1.3.3交货地点：见投标人须知前附表。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1.3.4技术性能指标：见投标人须知前附表。</w:t>
      </w:r>
    </w:p>
    <w:p>
      <w:pPr>
        <w:pStyle w:val="7"/>
        <w:snapToGrid w:val="0"/>
        <w:spacing w:before="0" w:after="0" w:line="360" w:lineRule="auto"/>
        <w:rPr>
          <w:rFonts w:cstheme="minorEastAsia"/>
        </w:rPr>
      </w:pPr>
      <w:bookmarkStart w:id="36" w:name="_Toc43907117"/>
      <w:r>
        <w:rPr>
          <w:rFonts w:hint="eastAsia" w:cstheme="minorEastAsia"/>
        </w:rPr>
        <w:t>1.4投标人资格要求</w:t>
      </w:r>
      <w:bookmarkEnd w:id="36"/>
    </w:p>
    <w:p>
      <w:pPr>
        <w:snapToGrid w:val="0"/>
        <w:spacing w:line="360" w:lineRule="auto"/>
        <w:rPr>
          <w:rFonts w:asciiTheme="minorEastAsia" w:hAnsiTheme="minorEastAsia" w:cstheme="minorEastAsia"/>
        </w:rPr>
      </w:pPr>
      <w:r>
        <w:rPr>
          <w:rFonts w:hint="eastAsia" w:asciiTheme="minorEastAsia" w:hAnsiTheme="minorEastAsia" w:cstheme="minorEastAsia"/>
        </w:rPr>
        <w:t>1.4.1投标人应具备承担本招标项目资质条件、能力和信誉：</w:t>
      </w:r>
    </w:p>
    <w:p>
      <w:pPr>
        <w:snapToGrid w:val="0"/>
        <w:spacing w:line="360" w:lineRule="auto"/>
        <w:rPr>
          <w:rFonts w:asciiTheme="minorEastAsia" w:hAnsiTheme="minorEastAsia" w:cstheme="minorEastAsia"/>
        </w:rPr>
      </w:pPr>
      <w:r>
        <w:rPr>
          <w:rFonts w:hint="eastAsia" w:asciiTheme="minorEastAsia" w:hAnsiTheme="minorEastAsia" w:cstheme="minorEastAsia"/>
        </w:rPr>
        <w:t>（1）资质要求：见投标人须知前附表；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（2）财务要求：见投标人须知前附表；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（3）业绩要求：见投标人须知前附表；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（4）信誉要求：见投标人须知前附表；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（5）其他要求：见投标人须知前附表。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投标人为代理经销商的，对投标人的资质要求包含对制造商的资质要求，对投标人的业绩要求包含对投标设备的业绩要求。</w:t>
      </w:r>
    </w:p>
    <w:p>
      <w:pPr>
        <w:snapToGrid w:val="0"/>
        <w:spacing w:line="360" w:lineRule="auto"/>
        <w:rPr>
          <w:rFonts w:asciiTheme="minorEastAsia" w:hAnsiTheme="minorEastAsia" w:cstheme="minorEastAsia"/>
        </w:rPr>
      </w:pPr>
      <w:r>
        <w:rPr>
          <w:rFonts w:hint="eastAsia" w:asciiTheme="minorEastAsia" w:hAnsiTheme="minorEastAsia" w:cstheme="minorEastAsia"/>
        </w:rPr>
        <w:t>需要提交的相关证明材料见本章第3.5款的规定。</w:t>
      </w:r>
    </w:p>
    <w:p>
      <w:pPr>
        <w:snapToGrid w:val="0"/>
        <w:spacing w:line="360" w:lineRule="auto"/>
        <w:rPr>
          <w:rFonts w:asciiTheme="minorEastAsia" w:hAnsiTheme="minorEastAsia" w:cstheme="minorEastAsia"/>
        </w:rPr>
      </w:pPr>
      <w:r>
        <w:rPr>
          <w:rFonts w:hint="eastAsia" w:asciiTheme="minorEastAsia" w:hAnsiTheme="minorEastAsia" w:cstheme="minorEastAsia"/>
        </w:rPr>
        <w:t>1.4.2投标人须知前附表规定接受联合体投标的，联合体除应符合本章第1.4.1项和投标人须知前附表的要求外，还应遵守以下规定：</w:t>
      </w:r>
    </w:p>
    <w:p>
      <w:pPr>
        <w:snapToGrid w:val="0"/>
        <w:spacing w:line="360" w:lineRule="auto"/>
        <w:rPr>
          <w:rFonts w:asciiTheme="minorEastAsia" w:hAnsiTheme="minorEastAsia" w:cstheme="minorEastAsia"/>
        </w:rPr>
      </w:pPr>
      <w:r>
        <w:rPr>
          <w:rFonts w:hint="eastAsia" w:asciiTheme="minorEastAsia" w:hAnsiTheme="minorEastAsia" w:cstheme="minorEastAsia"/>
        </w:rPr>
        <w:t>（1）联合体各方应按招标文件提供的格式签订联合体协议书，明确联合体牵头人和各方权利义务，并承诺就中标项目向招标人承担连带责任；</w:t>
      </w:r>
    </w:p>
    <w:p>
      <w:pPr>
        <w:snapToGrid w:val="0"/>
        <w:spacing w:line="360" w:lineRule="auto"/>
        <w:rPr>
          <w:rFonts w:asciiTheme="minorEastAsia" w:hAnsiTheme="minorEastAsia" w:cstheme="minorEastAsia"/>
        </w:rPr>
      </w:pPr>
      <w:r>
        <w:rPr>
          <w:rFonts w:hint="eastAsia" w:asciiTheme="minorEastAsia" w:hAnsiTheme="minorEastAsia" w:cstheme="minorEastAsia"/>
        </w:rPr>
        <w:t>（2）由同一专业的单位组成的联合体，按照资质等级较低的单位确定资质等级；</w:t>
      </w:r>
    </w:p>
    <w:p>
      <w:pPr>
        <w:snapToGrid w:val="0"/>
        <w:spacing w:line="360" w:lineRule="auto"/>
        <w:rPr>
          <w:rFonts w:asciiTheme="minorEastAsia" w:hAnsiTheme="minorEastAsia" w:cstheme="minorEastAsia"/>
        </w:rPr>
      </w:pPr>
      <w:r>
        <w:rPr>
          <w:rFonts w:hint="eastAsia" w:asciiTheme="minorEastAsia" w:hAnsiTheme="minorEastAsia" w:cstheme="minorEastAsia"/>
        </w:rPr>
        <w:t>（3）联合体各方不得再以自己名义单独或参加其他联合体在本招标项目中投标，否则各相关投标均无效。</w:t>
      </w:r>
    </w:p>
    <w:p>
      <w:pPr>
        <w:snapToGrid w:val="0"/>
        <w:spacing w:line="360" w:lineRule="auto"/>
        <w:rPr>
          <w:rFonts w:asciiTheme="minorEastAsia" w:hAnsiTheme="minorEastAsia" w:cstheme="minorEastAsia"/>
        </w:rPr>
      </w:pPr>
      <w:r>
        <w:rPr>
          <w:rFonts w:hint="eastAsia" w:asciiTheme="minorEastAsia" w:hAnsiTheme="minorEastAsia" w:cstheme="minorEastAsia"/>
        </w:rPr>
        <w:t>1.4.3投标人不得存在下列情形之一：</w:t>
      </w:r>
    </w:p>
    <w:p>
      <w:pPr>
        <w:snapToGrid w:val="0"/>
        <w:spacing w:line="360" w:lineRule="auto"/>
        <w:rPr>
          <w:rFonts w:asciiTheme="minorEastAsia" w:hAnsiTheme="minorEastAsia" w:cstheme="minorEastAsia"/>
        </w:rPr>
      </w:pPr>
      <w:r>
        <w:rPr>
          <w:rFonts w:hint="eastAsia" w:asciiTheme="minorEastAsia" w:hAnsiTheme="minorEastAsia" w:cstheme="minorEastAsia"/>
        </w:rPr>
        <w:t>（1）与招标人存在利害关系且可能影响招标公正性；</w:t>
      </w:r>
    </w:p>
    <w:p>
      <w:pPr>
        <w:snapToGrid w:val="0"/>
        <w:spacing w:line="360" w:lineRule="auto"/>
        <w:rPr>
          <w:rFonts w:asciiTheme="minorEastAsia" w:hAnsiTheme="minorEastAsia" w:cstheme="minorEastAsia"/>
        </w:rPr>
      </w:pPr>
      <w:r>
        <w:rPr>
          <w:rFonts w:hint="eastAsia" w:asciiTheme="minorEastAsia" w:hAnsiTheme="minorEastAsia" w:cstheme="minorEastAsia"/>
        </w:rPr>
        <w:t>（2）与本招标项目的其他投标人为同一个单位负责人；</w:t>
      </w:r>
    </w:p>
    <w:p>
      <w:pPr>
        <w:snapToGrid w:val="0"/>
        <w:spacing w:line="360" w:lineRule="auto"/>
        <w:rPr>
          <w:rFonts w:asciiTheme="minorEastAsia" w:hAnsiTheme="minorEastAsia" w:cstheme="minorEastAsia"/>
        </w:rPr>
      </w:pPr>
      <w:r>
        <w:rPr>
          <w:rFonts w:hint="eastAsia" w:asciiTheme="minorEastAsia" w:hAnsiTheme="minorEastAsia" w:cstheme="minorEastAsia"/>
        </w:rPr>
        <w:t>（3）与本招标项目的其他投标人存在控股、管理关系；</w:t>
      </w:r>
    </w:p>
    <w:p>
      <w:pPr>
        <w:snapToGrid w:val="0"/>
        <w:spacing w:line="360" w:lineRule="auto"/>
        <w:rPr>
          <w:rFonts w:asciiTheme="minorEastAsia" w:hAnsiTheme="minorEastAsia" w:cstheme="minorEastAsia"/>
        </w:rPr>
      </w:pPr>
      <w:r>
        <w:rPr>
          <w:rFonts w:hint="eastAsia" w:asciiTheme="minorEastAsia" w:hAnsiTheme="minorEastAsia" w:cstheme="minorEastAsia"/>
        </w:rPr>
        <w:t>（4）与本招标项目其他投标人代理同一个制造商同一品牌同一型号的设备投标；</w:t>
      </w:r>
    </w:p>
    <w:p>
      <w:pPr>
        <w:snapToGrid w:val="0"/>
        <w:spacing w:line="360" w:lineRule="auto"/>
        <w:rPr>
          <w:rFonts w:asciiTheme="minorEastAsia" w:hAnsiTheme="minorEastAsia" w:cstheme="minorEastAsia"/>
        </w:rPr>
      </w:pPr>
      <w:r>
        <w:rPr>
          <w:rFonts w:hint="eastAsia" w:asciiTheme="minorEastAsia" w:hAnsiTheme="minorEastAsia" w:cstheme="minorEastAsia"/>
        </w:rPr>
        <w:t>（5）为本招标项目提供过设计、编制技术规范和其他文件的咨询服务；</w:t>
      </w:r>
    </w:p>
    <w:p>
      <w:pPr>
        <w:snapToGrid w:val="0"/>
        <w:spacing w:line="360" w:lineRule="auto"/>
        <w:rPr>
          <w:rFonts w:asciiTheme="minorEastAsia" w:hAnsiTheme="minorEastAsia" w:cstheme="minorEastAsia"/>
        </w:rPr>
      </w:pPr>
      <w:r>
        <w:rPr>
          <w:rFonts w:hint="eastAsia" w:asciiTheme="minorEastAsia" w:hAnsiTheme="minorEastAsia" w:cstheme="minorEastAsia"/>
        </w:rPr>
        <w:t>（6）为本工程项目的相关监理人，或者与本工程项目的相关监理人存在隶属关系或者其他利害关系；</w:t>
      </w:r>
    </w:p>
    <w:p>
      <w:pPr>
        <w:snapToGrid w:val="0"/>
        <w:spacing w:line="360" w:lineRule="auto"/>
        <w:rPr>
          <w:rFonts w:asciiTheme="minorEastAsia" w:hAnsiTheme="minorEastAsia" w:cstheme="minorEastAsia"/>
        </w:rPr>
      </w:pPr>
      <w:r>
        <w:rPr>
          <w:rFonts w:hint="eastAsia" w:asciiTheme="minorEastAsia" w:hAnsiTheme="minorEastAsia" w:cstheme="minorEastAsia"/>
        </w:rPr>
        <w:t>（7）为本招标项目的代建人；</w:t>
      </w:r>
    </w:p>
    <w:p>
      <w:pPr>
        <w:snapToGrid w:val="0"/>
        <w:spacing w:line="360" w:lineRule="auto"/>
        <w:rPr>
          <w:rFonts w:asciiTheme="minorEastAsia" w:hAnsiTheme="minorEastAsia" w:cstheme="minorEastAsia"/>
        </w:rPr>
      </w:pPr>
      <w:r>
        <w:rPr>
          <w:rFonts w:hint="eastAsia" w:asciiTheme="minorEastAsia" w:hAnsiTheme="minorEastAsia" w:cstheme="minorEastAsia"/>
        </w:rPr>
        <w:t>（8）为本招标项目的招标代理机构；</w:t>
      </w:r>
    </w:p>
    <w:p>
      <w:pPr>
        <w:snapToGrid w:val="0"/>
        <w:spacing w:line="360" w:lineRule="auto"/>
        <w:rPr>
          <w:rFonts w:asciiTheme="minorEastAsia" w:hAnsiTheme="minorEastAsia" w:cstheme="minorEastAsia"/>
        </w:rPr>
      </w:pPr>
      <w:r>
        <w:rPr>
          <w:rFonts w:hint="eastAsia" w:asciiTheme="minorEastAsia" w:hAnsiTheme="minorEastAsia" w:cstheme="minorEastAsia"/>
        </w:rPr>
        <w:t>（9）与本招标项目的监理人或代建人或招标代理机构同为一个法定代表人；</w:t>
      </w:r>
    </w:p>
    <w:p>
      <w:pPr>
        <w:snapToGrid w:val="0"/>
        <w:spacing w:line="360" w:lineRule="auto"/>
        <w:rPr>
          <w:rFonts w:asciiTheme="minorEastAsia" w:hAnsiTheme="minorEastAsia" w:cstheme="minorEastAsia"/>
        </w:rPr>
      </w:pPr>
      <w:r>
        <w:rPr>
          <w:rFonts w:hint="eastAsia" w:asciiTheme="minorEastAsia" w:hAnsiTheme="minorEastAsia" w:cstheme="minorEastAsia"/>
        </w:rPr>
        <w:t>（10）与本招标项目的监理人或代建人或招标代理机构存在控股或参股关系；</w:t>
      </w:r>
    </w:p>
    <w:p>
      <w:pPr>
        <w:snapToGrid w:val="0"/>
        <w:spacing w:line="360" w:lineRule="auto"/>
        <w:rPr>
          <w:rFonts w:asciiTheme="minorEastAsia" w:hAnsiTheme="minorEastAsia" w:cstheme="minorEastAsia"/>
        </w:rPr>
      </w:pPr>
      <w:r>
        <w:rPr>
          <w:rFonts w:hint="eastAsia" w:asciiTheme="minorEastAsia" w:hAnsiTheme="minorEastAsia" w:cstheme="minorEastAsia"/>
        </w:rPr>
        <w:t>（11）被依法暂停或者取消投标资格；</w:t>
      </w:r>
    </w:p>
    <w:p>
      <w:pPr>
        <w:snapToGrid w:val="0"/>
        <w:spacing w:line="360" w:lineRule="auto"/>
        <w:rPr>
          <w:rFonts w:asciiTheme="minorEastAsia" w:hAnsiTheme="minorEastAsia" w:cstheme="minorEastAsia"/>
        </w:rPr>
      </w:pPr>
      <w:r>
        <w:rPr>
          <w:rFonts w:hint="eastAsia" w:asciiTheme="minorEastAsia" w:hAnsiTheme="minorEastAsia" w:cstheme="minorEastAsia"/>
        </w:rPr>
        <w:t>（12）被责令停产停业、暂扣或者吊销许可证、暂扣或者吊销执照；</w:t>
      </w:r>
    </w:p>
    <w:p>
      <w:pPr>
        <w:snapToGrid w:val="0"/>
        <w:spacing w:line="360" w:lineRule="auto"/>
        <w:rPr>
          <w:rFonts w:asciiTheme="minorEastAsia" w:hAnsiTheme="minorEastAsia" w:cstheme="minorEastAsia"/>
        </w:rPr>
      </w:pPr>
      <w:r>
        <w:rPr>
          <w:rFonts w:hint="eastAsia" w:asciiTheme="minorEastAsia" w:hAnsiTheme="minorEastAsia" w:cstheme="minorEastAsia"/>
        </w:rPr>
        <w:t>（13）进入清算程序，或被宣告破产，或其他丧失履约能力的情形；</w:t>
      </w:r>
    </w:p>
    <w:p>
      <w:pPr>
        <w:snapToGrid w:val="0"/>
        <w:spacing w:line="360" w:lineRule="auto"/>
        <w:rPr>
          <w:rFonts w:asciiTheme="minorEastAsia" w:hAnsiTheme="minorEastAsia" w:cstheme="minorEastAsia"/>
        </w:rPr>
      </w:pPr>
      <w:r>
        <w:rPr>
          <w:rFonts w:hint="eastAsia" w:asciiTheme="minorEastAsia" w:hAnsiTheme="minorEastAsia" w:cstheme="minorEastAsia"/>
        </w:rPr>
        <w:t>（14）在最近三年内发生重大产品质量问题（以相关行业主管部门的行政处罚决定或司法机关出具的有关法律文书为准）；</w:t>
      </w:r>
    </w:p>
    <w:p>
      <w:pPr>
        <w:snapToGrid w:val="0"/>
        <w:spacing w:line="360" w:lineRule="auto"/>
        <w:rPr>
          <w:rFonts w:asciiTheme="minorEastAsia" w:hAnsiTheme="minorEastAsia" w:cstheme="minorEastAsia"/>
        </w:rPr>
      </w:pPr>
      <w:r>
        <w:rPr>
          <w:rFonts w:hint="eastAsia" w:asciiTheme="minorEastAsia" w:hAnsiTheme="minorEastAsia" w:cstheme="minorEastAsia"/>
        </w:rPr>
        <w:t>（15）被工商行政管理机关在全国企业信用信息公示系统中列入严重违法失信企业名单；</w:t>
      </w:r>
    </w:p>
    <w:p>
      <w:pPr>
        <w:snapToGrid w:val="0"/>
        <w:spacing w:line="360" w:lineRule="auto"/>
        <w:rPr>
          <w:rFonts w:asciiTheme="minorEastAsia" w:hAnsiTheme="minorEastAsia" w:cstheme="minorEastAsia"/>
        </w:rPr>
      </w:pPr>
      <w:r>
        <w:rPr>
          <w:rFonts w:hint="eastAsia" w:asciiTheme="minorEastAsia" w:hAnsiTheme="minorEastAsia" w:cstheme="minorEastAsia"/>
        </w:rPr>
        <w:t>（16）被最高人民法院在“信用中国”网站（www.creditchina.gov.cn）或各级信用信息共享平台中列入失信被执行人名单；</w:t>
      </w:r>
    </w:p>
    <w:p>
      <w:pPr>
        <w:snapToGrid w:val="0"/>
        <w:spacing w:line="360" w:lineRule="auto"/>
        <w:rPr>
          <w:rFonts w:asciiTheme="minorEastAsia" w:hAnsiTheme="minorEastAsia" w:cstheme="minorEastAsia"/>
        </w:rPr>
      </w:pPr>
      <w:r>
        <w:rPr>
          <w:rFonts w:hint="eastAsia" w:asciiTheme="minorEastAsia" w:hAnsiTheme="minorEastAsia" w:cstheme="minorEastAsia"/>
        </w:rPr>
        <w:t>（17）在近三年内投标人或其法定代表人、拟委任的项目负责人有行贿犯罪行为的；</w:t>
      </w:r>
    </w:p>
    <w:p>
      <w:pPr>
        <w:snapToGrid w:val="0"/>
        <w:spacing w:line="360" w:lineRule="auto"/>
        <w:rPr>
          <w:rFonts w:asciiTheme="minorEastAsia" w:hAnsiTheme="minorEastAsia" w:cstheme="minorEastAsia"/>
        </w:rPr>
      </w:pPr>
      <w:r>
        <w:rPr>
          <w:rFonts w:hint="eastAsia" w:asciiTheme="minorEastAsia" w:hAnsiTheme="minorEastAsia" w:cstheme="minorEastAsia"/>
        </w:rPr>
        <w:t>（18）法律法规或投标人须知前附表规定的其他情形。</w:t>
      </w:r>
    </w:p>
    <w:p>
      <w:pPr>
        <w:pStyle w:val="7"/>
        <w:snapToGrid w:val="0"/>
        <w:spacing w:before="0" w:after="0" w:line="360" w:lineRule="auto"/>
        <w:rPr>
          <w:rFonts w:cstheme="minorEastAsia"/>
        </w:rPr>
      </w:pPr>
      <w:bookmarkStart w:id="37" w:name="_Toc43907118"/>
      <w:r>
        <w:rPr>
          <w:rFonts w:hint="eastAsia" w:cstheme="minorEastAsia"/>
        </w:rPr>
        <w:t>1.5费用承担</w:t>
      </w:r>
      <w:bookmarkEnd w:id="37"/>
    </w:p>
    <w:p>
      <w:pPr>
        <w:snapToGrid w:val="0"/>
        <w:spacing w:line="360" w:lineRule="auto"/>
        <w:rPr>
          <w:rFonts w:asciiTheme="minorEastAsia" w:hAnsiTheme="minorEastAsia" w:cstheme="minorEastAsia"/>
        </w:rPr>
      </w:pPr>
      <w:r>
        <w:rPr>
          <w:rFonts w:hint="eastAsia" w:asciiTheme="minorEastAsia" w:hAnsiTheme="minorEastAsia" w:cstheme="minorEastAsia"/>
        </w:rPr>
        <w:t>投标人准备和参加投标活动发生的费用自理。</w:t>
      </w:r>
    </w:p>
    <w:p>
      <w:pPr>
        <w:pStyle w:val="7"/>
        <w:snapToGrid w:val="0"/>
        <w:spacing w:before="0" w:after="0" w:line="360" w:lineRule="auto"/>
        <w:rPr>
          <w:rFonts w:cstheme="minorEastAsia"/>
        </w:rPr>
      </w:pPr>
      <w:bookmarkStart w:id="38" w:name="_Toc43907119"/>
      <w:r>
        <w:rPr>
          <w:rFonts w:hint="eastAsia" w:cstheme="minorEastAsia"/>
        </w:rPr>
        <w:t>1.6保密</w:t>
      </w:r>
      <w:bookmarkEnd w:id="38"/>
    </w:p>
    <w:p>
      <w:pPr>
        <w:snapToGrid w:val="0"/>
        <w:spacing w:line="360" w:lineRule="auto"/>
        <w:rPr>
          <w:rFonts w:asciiTheme="minorEastAsia" w:hAnsiTheme="minorEastAsia" w:cstheme="minorEastAsia"/>
        </w:rPr>
      </w:pPr>
      <w:r>
        <w:rPr>
          <w:rFonts w:hint="eastAsia" w:asciiTheme="minorEastAsia" w:hAnsiTheme="minorEastAsia" w:cstheme="minorEastAsia"/>
        </w:rPr>
        <w:t>参与招标投标活动的各方应对招标文件和投标文件中的商业和技术等秘密保密，否则应承担相应的法律责任。</w:t>
      </w:r>
    </w:p>
    <w:p>
      <w:pPr>
        <w:pStyle w:val="7"/>
        <w:snapToGrid w:val="0"/>
        <w:spacing w:before="0" w:after="0" w:line="360" w:lineRule="auto"/>
        <w:rPr>
          <w:rFonts w:cstheme="minorEastAsia"/>
        </w:rPr>
      </w:pPr>
      <w:bookmarkStart w:id="39" w:name="_Toc43907120"/>
      <w:r>
        <w:rPr>
          <w:rFonts w:hint="eastAsia" w:cstheme="minorEastAsia"/>
        </w:rPr>
        <w:t>1.7语言文字</w:t>
      </w:r>
      <w:bookmarkEnd w:id="39"/>
    </w:p>
    <w:p>
      <w:pPr>
        <w:snapToGrid w:val="0"/>
        <w:spacing w:line="360" w:lineRule="auto"/>
        <w:rPr>
          <w:rFonts w:asciiTheme="minorEastAsia" w:hAnsiTheme="minorEastAsia" w:cstheme="minorEastAsia"/>
        </w:rPr>
      </w:pPr>
      <w:r>
        <w:rPr>
          <w:rFonts w:hint="eastAsia" w:asciiTheme="minorEastAsia" w:hAnsiTheme="minorEastAsia" w:cstheme="minorEastAsia"/>
        </w:rPr>
        <w:t>招标投标文件使用的语言文字为中文。专用术语使用外文的，应附有中文注释。</w:t>
      </w:r>
    </w:p>
    <w:p>
      <w:pPr>
        <w:pStyle w:val="7"/>
        <w:snapToGrid w:val="0"/>
        <w:spacing w:before="0" w:after="0" w:line="360" w:lineRule="auto"/>
        <w:rPr>
          <w:rFonts w:cstheme="minorEastAsia"/>
        </w:rPr>
      </w:pPr>
      <w:bookmarkStart w:id="40" w:name="_Toc43907121"/>
      <w:r>
        <w:rPr>
          <w:rFonts w:hint="eastAsia" w:cstheme="minorEastAsia"/>
        </w:rPr>
        <w:t>1.8计量单位</w:t>
      </w:r>
      <w:bookmarkEnd w:id="40"/>
    </w:p>
    <w:p>
      <w:pPr>
        <w:snapToGrid w:val="0"/>
        <w:spacing w:line="360" w:lineRule="auto"/>
        <w:rPr>
          <w:rFonts w:asciiTheme="minorEastAsia" w:hAnsiTheme="minorEastAsia" w:cstheme="minorEastAsia"/>
        </w:rPr>
      </w:pPr>
      <w:r>
        <w:rPr>
          <w:rFonts w:hint="eastAsia" w:asciiTheme="minorEastAsia" w:hAnsiTheme="minorEastAsia" w:cstheme="minorEastAsia"/>
        </w:rPr>
        <w:t>所有计量均采用中华人民共和国法定计量单位。</w:t>
      </w:r>
    </w:p>
    <w:p>
      <w:pPr>
        <w:pStyle w:val="7"/>
        <w:snapToGrid w:val="0"/>
        <w:spacing w:before="0" w:after="0" w:line="360" w:lineRule="auto"/>
        <w:rPr>
          <w:rFonts w:cstheme="minorEastAsia"/>
        </w:rPr>
      </w:pPr>
      <w:bookmarkStart w:id="41" w:name="_Toc43907122"/>
      <w:r>
        <w:rPr>
          <w:rFonts w:hint="eastAsia" w:cstheme="minorEastAsia"/>
        </w:rPr>
        <w:t>1.9投标预备会</w:t>
      </w:r>
      <w:bookmarkEnd w:id="41"/>
    </w:p>
    <w:p>
      <w:pPr>
        <w:snapToGrid w:val="0"/>
        <w:spacing w:line="360" w:lineRule="auto"/>
        <w:rPr>
          <w:rFonts w:asciiTheme="minorEastAsia" w:hAnsiTheme="minorEastAsia" w:cstheme="minorEastAsia"/>
        </w:rPr>
      </w:pPr>
      <w:r>
        <w:rPr>
          <w:rFonts w:hint="eastAsia" w:asciiTheme="minorEastAsia" w:hAnsiTheme="minorEastAsia" w:cstheme="minorEastAsia"/>
        </w:rPr>
        <w:t>1.9.1投标人须知前附表规定召开投标预备会的，招标人按投标人须知前附表规定的时间和地点召开投标预备会，澄清投标人提出的问题。</w:t>
      </w:r>
    </w:p>
    <w:p>
      <w:pPr>
        <w:snapToGrid w:val="0"/>
        <w:spacing w:line="360" w:lineRule="auto"/>
        <w:rPr>
          <w:rFonts w:asciiTheme="minorEastAsia" w:hAnsiTheme="minorEastAsia" w:cstheme="minorEastAsia"/>
        </w:rPr>
      </w:pPr>
      <w:r>
        <w:rPr>
          <w:rFonts w:hint="eastAsia" w:asciiTheme="minorEastAsia" w:hAnsiTheme="minorEastAsia" w:cstheme="minorEastAsia"/>
        </w:rPr>
        <w:t>1.9.2投标人应按投标人须知前附表规定的时间和形式将提出的问题送达招标人，以便招标人在会议期间澄清。</w:t>
      </w:r>
    </w:p>
    <w:p>
      <w:pPr>
        <w:snapToGrid w:val="0"/>
        <w:spacing w:line="360" w:lineRule="auto"/>
        <w:rPr>
          <w:rFonts w:asciiTheme="minorEastAsia" w:hAnsiTheme="minorEastAsia" w:cstheme="minorEastAsia"/>
        </w:rPr>
      </w:pPr>
      <w:r>
        <w:rPr>
          <w:rFonts w:hint="eastAsia" w:asciiTheme="minorEastAsia" w:hAnsiTheme="minorEastAsia" w:cstheme="minorEastAsia"/>
        </w:rPr>
        <w:t>1.9.3投标预备会后，招标人将对投标人所提问题的澄清，以投标人须知前附表规定的形式通知所有购买招标文件的投标人。该澄清内容为招标文件的组成部分。</w:t>
      </w:r>
    </w:p>
    <w:p>
      <w:pPr>
        <w:pStyle w:val="7"/>
        <w:snapToGrid w:val="0"/>
        <w:spacing w:before="0" w:after="0" w:line="360" w:lineRule="auto"/>
        <w:rPr>
          <w:rFonts w:cstheme="minorEastAsia"/>
        </w:rPr>
      </w:pPr>
      <w:bookmarkStart w:id="42" w:name="_Toc43907123"/>
      <w:r>
        <w:rPr>
          <w:rFonts w:hint="eastAsia" w:cstheme="minorEastAsia"/>
        </w:rPr>
        <w:t>1.10分包</w:t>
      </w:r>
      <w:bookmarkEnd w:id="42"/>
    </w:p>
    <w:p>
      <w:pPr>
        <w:snapToGrid w:val="0"/>
        <w:spacing w:line="360" w:lineRule="auto"/>
        <w:rPr>
          <w:rFonts w:asciiTheme="minorEastAsia" w:hAnsiTheme="minorEastAsia" w:cstheme="minorEastAsia"/>
        </w:rPr>
      </w:pPr>
      <w:r>
        <w:rPr>
          <w:rFonts w:hint="eastAsia" w:asciiTheme="minorEastAsia" w:hAnsiTheme="minorEastAsia" w:cstheme="minorEastAsia"/>
        </w:rPr>
        <w:t>1.10.1部分工作内容，在征得招标人同意后可以进行合法分包。</w:t>
      </w:r>
    </w:p>
    <w:p>
      <w:pPr>
        <w:snapToGrid w:val="0"/>
        <w:spacing w:line="360" w:lineRule="auto"/>
        <w:rPr>
          <w:rFonts w:asciiTheme="minorEastAsia" w:hAnsiTheme="minorEastAsia" w:cstheme="minorEastAsia"/>
        </w:rPr>
      </w:pPr>
      <w:r>
        <w:rPr>
          <w:rFonts w:hint="eastAsia" w:asciiTheme="minorEastAsia" w:hAnsiTheme="minorEastAsia" w:cstheme="minorEastAsia"/>
        </w:rPr>
        <w:t>1.10.2中标人不得向他人转让中标项目，接受分包的人不得再次分包。中标人应当就分包项目向招标人负责，接受分包的人就分包项目承担连带责任。</w:t>
      </w:r>
    </w:p>
    <w:p>
      <w:pPr>
        <w:pStyle w:val="7"/>
        <w:snapToGrid w:val="0"/>
        <w:spacing w:before="0" w:after="0" w:line="360" w:lineRule="auto"/>
        <w:rPr>
          <w:rFonts w:cstheme="minorEastAsia"/>
        </w:rPr>
      </w:pPr>
      <w:bookmarkStart w:id="43" w:name="_Toc43907124"/>
      <w:r>
        <w:rPr>
          <w:rFonts w:hint="eastAsia" w:cstheme="minorEastAsia"/>
        </w:rPr>
        <w:t>1.11响应和偏差</w:t>
      </w:r>
      <w:bookmarkEnd w:id="43"/>
    </w:p>
    <w:p>
      <w:pPr>
        <w:snapToGrid w:val="0"/>
        <w:spacing w:line="360" w:lineRule="auto"/>
        <w:rPr>
          <w:rFonts w:asciiTheme="minorEastAsia" w:hAnsiTheme="minorEastAsia" w:cstheme="minorEastAsia"/>
        </w:rPr>
      </w:pPr>
      <w:r>
        <w:rPr>
          <w:rFonts w:hint="eastAsia" w:asciiTheme="minorEastAsia" w:hAnsiTheme="minorEastAsia" w:cstheme="minorEastAsia"/>
        </w:rPr>
        <w:t>1.11.1投标文件应当对招标文件的实质性要求和条件作出满足性或更有利于招标人的响应，否则，投标人的投标将被否决。实质性要求和条件见投标人须知前附表。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1.11.2投标人应根据招标文件的要求提供投标设备技术性能指标的详细描述、技术支持资料及技术服务和质保期服务计划等内容以对招标文件作出响应。</w:t>
      </w:r>
    </w:p>
    <w:p>
      <w:pPr>
        <w:snapToGrid w:val="0"/>
        <w:spacing w:line="360" w:lineRule="auto"/>
        <w:rPr>
          <w:rFonts w:asciiTheme="minorEastAsia" w:hAnsiTheme="minorEastAsia" w:cstheme="minorEastAsia"/>
        </w:rPr>
      </w:pPr>
      <w:r>
        <w:rPr>
          <w:rFonts w:hint="eastAsia" w:asciiTheme="minorEastAsia" w:hAnsiTheme="minorEastAsia" w:cstheme="minorEastAsia"/>
        </w:rPr>
        <w:t>1.11.3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snapToGrid w:val="0"/>
        <w:spacing w:line="360" w:lineRule="auto"/>
        <w:rPr>
          <w:rFonts w:asciiTheme="minorEastAsia" w:hAnsiTheme="minorEastAsia" w:cstheme="minorEastAsia"/>
        </w:rPr>
      </w:pPr>
      <w:r>
        <w:rPr>
          <w:rFonts w:hint="eastAsia" w:asciiTheme="minorEastAsia" w:hAnsiTheme="minorEastAsia" w:cstheme="minorEastAsia"/>
        </w:rPr>
        <w:t>1.11.4投标人须知前附表规定了可以偏差的范围和最高偏差项数的，偏差应当符合投标人须知前附表规定的偏差范围和最高项数，超出偏差范围和最高偏差项数的投标将被否决。</w:t>
      </w:r>
    </w:p>
    <w:p>
      <w:pPr>
        <w:snapToGrid w:val="0"/>
        <w:spacing w:line="360" w:lineRule="auto"/>
        <w:rPr>
          <w:rFonts w:asciiTheme="minorEastAsia" w:hAnsiTheme="minorEastAsia" w:cstheme="minorEastAsia"/>
        </w:rPr>
      </w:pPr>
      <w:r>
        <w:rPr>
          <w:rFonts w:hint="eastAsia" w:asciiTheme="minorEastAsia" w:hAnsiTheme="minorEastAsia" w:cstheme="minorEastAsia"/>
        </w:rPr>
        <w:t>1.11.5投标文件对招标文件的全部偏差，均应在投标文件的商务和技术偏差表中列明，除列明的内容外，视为投标人响应招标文件的全部要求。</w:t>
      </w:r>
    </w:p>
    <w:p>
      <w:pPr>
        <w:pStyle w:val="6"/>
        <w:snapToGrid w:val="0"/>
        <w:spacing w:before="0" w:after="0" w:line="360" w:lineRule="auto"/>
        <w:rPr>
          <w:rFonts w:cstheme="minorEastAsia"/>
        </w:rPr>
      </w:pPr>
      <w:bookmarkStart w:id="44" w:name="_Toc43907125"/>
      <w:r>
        <w:rPr>
          <w:rFonts w:hint="eastAsia" w:cstheme="minorEastAsia"/>
        </w:rPr>
        <w:t>2.招标文件</w:t>
      </w:r>
      <w:bookmarkEnd w:id="44"/>
    </w:p>
    <w:p>
      <w:pPr>
        <w:pStyle w:val="7"/>
        <w:snapToGrid w:val="0"/>
        <w:spacing w:before="0" w:after="0" w:line="360" w:lineRule="auto"/>
        <w:rPr>
          <w:rFonts w:cstheme="minorEastAsia"/>
        </w:rPr>
      </w:pPr>
      <w:bookmarkStart w:id="45" w:name="_Toc43907126"/>
      <w:r>
        <w:rPr>
          <w:rFonts w:hint="eastAsia" w:cstheme="minorEastAsia"/>
        </w:rPr>
        <w:t>2.1招标文件的组成</w:t>
      </w:r>
      <w:bookmarkEnd w:id="45"/>
    </w:p>
    <w:p>
      <w:pPr>
        <w:snapToGrid w:val="0"/>
        <w:spacing w:line="360" w:lineRule="auto"/>
        <w:rPr>
          <w:rFonts w:asciiTheme="minorEastAsia" w:hAnsiTheme="minorEastAsia" w:cstheme="minorEastAsia"/>
        </w:rPr>
      </w:pPr>
      <w:r>
        <w:rPr>
          <w:rFonts w:hint="eastAsia" w:asciiTheme="minorEastAsia" w:hAnsiTheme="minorEastAsia" w:cstheme="minorEastAsia"/>
        </w:rPr>
        <w:t>本招标文件包括：</w:t>
      </w:r>
    </w:p>
    <w:p>
      <w:pPr>
        <w:snapToGrid w:val="0"/>
        <w:spacing w:line="360" w:lineRule="auto"/>
        <w:rPr>
          <w:rFonts w:asciiTheme="minorEastAsia" w:hAnsiTheme="minorEastAsia" w:cstheme="minorEastAsia"/>
        </w:rPr>
      </w:pPr>
      <w:r>
        <w:rPr>
          <w:rFonts w:hint="eastAsia" w:asciiTheme="minorEastAsia" w:hAnsiTheme="minorEastAsia" w:cstheme="minorEastAsia"/>
        </w:rPr>
        <w:t>（1）招标公告；</w:t>
      </w:r>
    </w:p>
    <w:p>
      <w:pPr>
        <w:snapToGrid w:val="0"/>
        <w:spacing w:line="360" w:lineRule="auto"/>
        <w:rPr>
          <w:rFonts w:asciiTheme="minorEastAsia" w:hAnsiTheme="minorEastAsia" w:cstheme="minorEastAsia"/>
        </w:rPr>
      </w:pPr>
      <w:r>
        <w:rPr>
          <w:rFonts w:hint="eastAsia" w:asciiTheme="minorEastAsia" w:hAnsiTheme="minorEastAsia" w:cstheme="minorEastAsia"/>
        </w:rPr>
        <w:t>（2）投标人须知；</w:t>
      </w:r>
    </w:p>
    <w:p>
      <w:pPr>
        <w:snapToGrid w:val="0"/>
        <w:spacing w:line="360" w:lineRule="auto"/>
        <w:rPr>
          <w:rFonts w:asciiTheme="minorEastAsia" w:hAnsiTheme="minorEastAsia" w:cstheme="minorEastAsia"/>
        </w:rPr>
      </w:pPr>
      <w:r>
        <w:rPr>
          <w:rFonts w:hint="eastAsia" w:asciiTheme="minorEastAsia" w:hAnsiTheme="minorEastAsia" w:cstheme="minorEastAsia"/>
        </w:rPr>
        <w:t>（3）评标办法；</w:t>
      </w:r>
    </w:p>
    <w:p>
      <w:pPr>
        <w:snapToGrid w:val="0"/>
        <w:spacing w:line="360" w:lineRule="auto"/>
        <w:rPr>
          <w:rFonts w:asciiTheme="minorEastAsia" w:hAnsiTheme="minorEastAsia" w:cstheme="minorEastAsia"/>
        </w:rPr>
      </w:pPr>
      <w:r>
        <w:rPr>
          <w:rFonts w:hint="eastAsia" w:asciiTheme="minorEastAsia" w:hAnsiTheme="minorEastAsia" w:cstheme="minorEastAsia"/>
        </w:rPr>
        <w:t>（4）合同条款及格式；</w:t>
      </w:r>
    </w:p>
    <w:p>
      <w:pPr>
        <w:snapToGrid w:val="0"/>
        <w:spacing w:line="360" w:lineRule="auto"/>
        <w:rPr>
          <w:rFonts w:asciiTheme="minorEastAsia" w:hAnsiTheme="minorEastAsia" w:cstheme="minorEastAsia"/>
        </w:rPr>
      </w:pPr>
      <w:r>
        <w:rPr>
          <w:rFonts w:hint="eastAsia" w:asciiTheme="minorEastAsia" w:hAnsiTheme="minorEastAsia" w:cstheme="minorEastAsia"/>
        </w:rPr>
        <w:t>（5）项目需求；</w:t>
      </w:r>
    </w:p>
    <w:p>
      <w:pPr>
        <w:snapToGrid w:val="0"/>
        <w:spacing w:line="360" w:lineRule="auto"/>
        <w:rPr>
          <w:rFonts w:asciiTheme="minorEastAsia" w:hAnsiTheme="minorEastAsia" w:cstheme="minorEastAsia"/>
        </w:rPr>
      </w:pPr>
      <w:r>
        <w:rPr>
          <w:rFonts w:hint="eastAsia" w:asciiTheme="minorEastAsia" w:hAnsiTheme="minorEastAsia" w:cstheme="minorEastAsia"/>
        </w:rPr>
        <w:t>（6）投标文件格式；</w:t>
      </w:r>
    </w:p>
    <w:p>
      <w:pPr>
        <w:snapToGrid w:val="0"/>
        <w:spacing w:line="360" w:lineRule="auto"/>
        <w:rPr>
          <w:rFonts w:asciiTheme="minorEastAsia" w:hAnsiTheme="minorEastAsia" w:cstheme="minorEastAsia"/>
        </w:rPr>
      </w:pPr>
      <w:r>
        <w:rPr>
          <w:rFonts w:hint="eastAsia" w:asciiTheme="minorEastAsia" w:hAnsiTheme="minorEastAsia" w:cstheme="minorEastAsia"/>
        </w:rPr>
        <w:t>（7）投标人须知前附表规定的其他资料。</w:t>
      </w:r>
    </w:p>
    <w:p>
      <w:pPr>
        <w:snapToGrid w:val="0"/>
        <w:spacing w:line="360" w:lineRule="auto"/>
        <w:rPr>
          <w:rFonts w:asciiTheme="minorEastAsia" w:hAnsiTheme="minorEastAsia" w:cstheme="minorEastAsia"/>
        </w:rPr>
      </w:pPr>
      <w:r>
        <w:rPr>
          <w:rFonts w:hint="eastAsia" w:asciiTheme="minorEastAsia" w:hAnsiTheme="minorEastAsia" w:cstheme="minorEastAsia"/>
        </w:rPr>
        <w:t>根据本章第1.9款、第2.2款和第2.3款对招标文件所作的澄清、修改，构成招标文件的组成部分。</w:t>
      </w:r>
    </w:p>
    <w:p>
      <w:pPr>
        <w:pStyle w:val="7"/>
        <w:snapToGrid w:val="0"/>
        <w:spacing w:before="0" w:after="0" w:line="360" w:lineRule="auto"/>
        <w:rPr>
          <w:rFonts w:cstheme="minorEastAsia"/>
        </w:rPr>
      </w:pPr>
      <w:bookmarkStart w:id="46" w:name="_Toc43907127"/>
      <w:r>
        <w:rPr>
          <w:rFonts w:hint="eastAsia" w:cstheme="minorEastAsia"/>
        </w:rPr>
        <w:t>2.2招标文件的澄清</w:t>
      </w:r>
      <w:bookmarkEnd w:id="46"/>
    </w:p>
    <w:p>
      <w:pPr>
        <w:snapToGrid w:val="0"/>
        <w:spacing w:line="360" w:lineRule="auto"/>
        <w:rPr>
          <w:rFonts w:asciiTheme="minorEastAsia" w:hAnsiTheme="minorEastAsia" w:cstheme="minorEastAsia"/>
        </w:rPr>
      </w:pPr>
      <w:r>
        <w:rPr>
          <w:rFonts w:hint="eastAsia" w:asciiTheme="minorEastAsia" w:hAnsiTheme="minorEastAsia" w:cstheme="minorEastAsia"/>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napToGrid w:val="0"/>
        <w:spacing w:line="360" w:lineRule="auto"/>
        <w:rPr>
          <w:rFonts w:asciiTheme="minorEastAsia" w:hAnsiTheme="minorEastAsia" w:cstheme="minorEastAsia"/>
        </w:rPr>
      </w:pPr>
      <w:r>
        <w:rPr>
          <w:rFonts w:hint="eastAsia" w:asciiTheme="minorEastAsia" w:hAnsiTheme="minorEastAsia" w:cstheme="minorEastAsia"/>
        </w:rPr>
        <w:t>2.2.2招标文件的澄清以投标人须知前附表规定的形式发给所有购买招标文件的投标人，但不指明澄清问题的来源。澄清发出的时间距本章第4.2.1项规定的投标截止时间不足15日的，并且澄清内容可能影响投标文件编制的，将相应延长投标截止时间。</w:t>
      </w:r>
    </w:p>
    <w:p>
      <w:pPr>
        <w:snapToGrid w:val="0"/>
        <w:spacing w:line="360" w:lineRule="auto"/>
        <w:rPr>
          <w:rFonts w:asciiTheme="minorEastAsia" w:hAnsiTheme="minorEastAsia" w:cstheme="minorEastAsia"/>
        </w:rPr>
      </w:pPr>
      <w:r>
        <w:rPr>
          <w:rFonts w:hint="eastAsia" w:asciiTheme="minorEastAsia" w:hAnsiTheme="minorEastAsia" w:cstheme="minorEastAsia"/>
        </w:rPr>
        <w:t>2.2.3投标人在收到澄清后，应按投标人须知前附表规定的时间和形式通知招标人，确认已收到该澄清。</w:t>
      </w:r>
    </w:p>
    <w:p>
      <w:pPr>
        <w:snapToGrid w:val="0"/>
        <w:spacing w:line="360" w:lineRule="auto"/>
        <w:rPr>
          <w:rFonts w:asciiTheme="minorEastAsia" w:hAnsiTheme="minorEastAsia" w:cstheme="minorEastAsia"/>
        </w:rPr>
      </w:pPr>
      <w:r>
        <w:rPr>
          <w:rFonts w:hint="eastAsia" w:asciiTheme="minorEastAsia" w:hAnsiTheme="minorEastAsia" w:cstheme="minorEastAsia"/>
        </w:rPr>
        <w:t>2.2.4除非招标人认为确有必要答复，否则，招标人有权拒绝回复投标人在本章第2.2.1项规定的时间后的任何澄清要求。</w:t>
      </w:r>
    </w:p>
    <w:p>
      <w:pPr>
        <w:pStyle w:val="7"/>
        <w:snapToGrid w:val="0"/>
        <w:spacing w:before="0" w:after="0" w:line="360" w:lineRule="auto"/>
        <w:rPr>
          <w:rFonts w:cstheme="minorEastAsia"/>
        </w:rPr>
      </w:pPr>
      <w:bookmarkStart w:id="47" w:name="_Toc43907128"/>
      <w:r>
        <w:rPr>
          <w:rFonts w:hint="eastAsia" w:cstheme="minorEastAsia"/>
        </w:rPr>
        <w:t>2.3招标文件的修改</w:t>
      </w:r>
      <w:bookmarkEnd w:id="47"/>
    </w:p>
    <w:p>
      <w:pPr>
        <w:snapToGrid w:val="0"/>
        <w:spacing w:line="360" w:lineRule="auto"/>
        <w:rPr>
          <w:rFonts w:asciiTheme="minorEastAsia" w:hAnsiTheme="minorEastAsia" w:cstheme="minorEastAsia"/>
        </w:rPr>
      </w:pPr>
      <w:r>
        <w:rPr>
          <w:rFonts w:hint="eastAsia" w:asciiTheme="minorEastAsia" w:hAnsiTheme="minorEastAsia" w:cstheme="minorEastAsia"/>
        </w:rPr>
        <w:t>2.3.1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pPr>
        <w:snapToGrid w:val="0"/>
        <w:spacing w:line="360" w:lineRule="auto"/>
        <w:rPr>
          <w:rFonts w:asciiTheme="minorEastAsia" w:hAnsiTheme="minorEastAsia" w:cstheme="minorEastAsia"/>
        </w:rPr>
      </w:pPr>
      <w:r>
        <w:rPr>
          <w:rFonts w:hint="eastAsia" w:asciiTheme="minorEastAsia" w:hAnsiTheme="minorEastAsia" w:cstheme="minorEastAsia"/>
        </w:rPr>
        <w:t>2.3.2投标人收到修改内容后，应按投标人须知前附表规定的时间和形式通知招标人，确认已收到该修改。</w:t>
      </w:r>
    </w:p>
    <w:p>
      <w:pPr>
        <w:pStyle w:val="7"/>
        <w:snapToGrid w:val="0"/>
        <w:spacing w:before="0" w:after="0" w:line="360" w:lineRule="auto"/>
        <w:rPr>
          <w:rFonts w:cstheme="minorEastAsia"/>
        </w:rPr>
      </w:pPr>
      <w:bookmarkStart w:id="48" w:name="_Toc43907129"/>
      <w:r>
        <w:rPr>
          <w:rFonts w:hint="eastAsia" w:cstheme="minorEastAsia"/>
        </w:rPr>
        <w:t>2.4招标文件的异议</w:t>
      </w:r>
      <w:bookmarkEnd w:id="48"/>
    </w:p>
    <w:p>
      <w:pPr>
        <w:snapToGrid w:val="0"/>
        <w:spacing w:line="360" w:lineRule="auto"/>
        <w:rPr>
          <w:rFonts w:asciiTheme="minorEastAsia" w:hAnsiTheme="minorEastAsia" w:cstheme="minorEastAsia"/>
        </w:rPr>
      </w:pPr>
      <w:r>
        <w:rPr>
          <w:rFonts w:hint="eastAsia" w:asciiTheme="minorEastAsia" w:hAnsiTheme="minorEastAsia" w:cstheme="minorEastAsia"/>
        </w:rPr>
        <w:t>投标人或者其他利害关系人对招标文件有异议的，应当在投标截止时间 10 日前以书面形式提出。招标人将在收到异议之日起 3 日内作出答复；作出答复前，将暂停招标投标活动。</w:t>
      </w:r>
    </w:p>
    <w:p>
      <w:pPr>
        <w:pStyle w:val="6"/>
        <w:snapToGrid w:val="0"/>
        <w:spacing w:before="0" w:after="0" w:line="360" w:lineRule="auto"/>
        <w:rPr>
          <w:rFonts w:cstheme="minorEastAsia"/>
        </w:rPr>
      </w:pPr>
      <w:bookmarkStart w:id="49" w:name="_Toc43907130"/>
      <w:r>
        <w:rPr>
          <w:rFonts w:hint="eastAsia" w:cstheme="minorEastAsia"/>
        </w:rPr>
        <w:t>3.投标文件</w:t>
      </w:r>
      <w:bookmarkEnd w:id="49"/>
    </w:p>
    <w:p>
      <w:pPr>
        <w:pStyle w:val="7"/>
        <w:snapToGrid w:val="0"/>
        <w:spacing w:before="0" w:after="0" w:line="360" w:lineRule="auto"/>
        <w:rPr>
          <w:rFonts w:cstheme="minorEastAsia"/>
        </w:rPr>
      </w:pPr>
      <w:bookmarkStart w:id="50" w:name="_Toc43907131"/>
      <w:r>
        <w:rPr>
          <w:rFonts w:hint="eastAsia" w:cstheme="minorEastAsia"/>
        </w:rPr>
        <w:t>3.1投标文件的组成</w:t>
      </w:r>
      <w:bookmarkEnd w:id="50"/>
    </w:p>
    <w:p>
      <w:pPr>
        <w:snapToGrid w:val="0"/>
        <w:spacing w:line="360" w:lineRule="auto"/>
        <w:rPr>
          <w:rFonts w:asciiTheme="minorEastAsia" w:hAnsiTheme="minorEastAsia" w:cstheme="minorEastAsia"/>
        </w:rPr>
      </w:pPr>
      <w:r>
        <w:rPr>
          <w:rFonts w:hint="eastAsia" w:asciiTheme="minorEastAsia" w:hAnsiTheme="minorEastAsia" w:cstheme="minorEastAsia"/>
        </w:rPr>
        <w:t>3.1.1投标文件应包括下列内容：</w:t>
      </w:r>
    </w:p>
    <w:p>
      <w:pPr>
        <w:snapToGrid w:val="0"/>
        <w:spacing w:line="360" w:lineRule="auto"/>
        <w:rPr>
          <w:rFonts w:asciiTheme="minorEastAsia" w:hAnsiTheme="minorEastAsia" w:cstheme="minorEastAsia"/>
        </w:rPr>
      </w:pPr>
      <w:r>
        <w:rPr>
          <w:rFonts w:hint="eastAsia" w:asciiTheme="minorEastAsia" w:hAnsiTheme="minorEastAsia" w:cstheme="minorEastAsia"/>
        </w:rPr>
        <w:t>（1）投标函；</w:t>
      </w:r>
    </w:p>
    <w:p>
      <w:pPr>
        <w:snapToGrid w:val="0"/>
        <w:spacing w:line="360" w:lineRule="auto"/>
        <w:rPr>
          <w:rFonts w:asciiTheme="minorEastAsia" w:hAnsiTheme="minorEastAsia" w:cstheme="minorEastAsia"/>
        </w:rPr>
      </w:pPr>
      <w:r>
        <w:rPr>
          <w:rFonts w:hint="eastAsia" w:asciiTheme="minorEastAsia" w:hAnsiTheme="minorEastAsia" w:cstheme="minorEastAsia"/>
        </w:rPr>
        <w:t>（2）法定代表人（单位负责人）身份证明；</w:t>
      </w:r>
    </w:p>
    <w:p>
      <w:pPr>
        <w:snapToGrid w:val="0"/>
        <w:spacing w:line="360" w:lineRule="auto"/>
        <w:rPr>
          <w:rFonts w:asciiTheme="minorEastAsia" w:hAnsiTheme="minorEastAsia" w:cstheme="minorEastAsia"/>
        </w:rPr>
      </w:pPr>
      <w:r>
        <w:rPr>
          <w:rFonts w:hint="eastAsia" w:asciiTheme="minorEastAsia" w:hAnsiTheme="minorEastAsia" w:cstheme="minorEastAsia"/>
        </w:rPr>
        <w:t>（3）授权委托书；</w:t>
      </w:r>
    </w:p>
    <w:p>
      <w:pPr>
        <w:snapToGrid w:val="0"/>
        <w:spacing w:line="360" w:lineRule="auto"/>
        <w:rPr>
          <w:rFonts w:asciiTheme="minorEastAsia" w:hAnsiTheme="minorEastAsia" w:cstheme="minorEastAsia"/>
        </w:rPr>
      </w:pPr>
      <w:r>
        <w:rPr>
          <w:rFonts w:hint="eastAsia" w:asciiTheme="minorEastAsia" w:hAnsiTheme="minorEastAsia" w:cstheme="minorEastAsia"/>
        </w:rPr>
        <w:t>（4）联合体协议书（如有）；</w:t>
      </w:r>
    </w:p>
    <w:p>
      <w:pPr>
        <w:snapToGrid w:val="0"/>
        <w:spacing w:line="360" w:lineRule="auto"/>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5</w:t>
      </w:r>
      <w:r>
        <w:rPr>
          <w:rFonts w:hint="eastAsia" w:asciiTheme="minorEastAsia" w:hAnsiTheme="minorEastAsia" w:cstheme="minorEastAsia"/>
        </w:rPr>
        <w:t>）商务和技术偏差表；</w:t>
      </w:r>
    </w:p>
    <w:p>
      <w:pPr>
        <w:snapToGrid w:val="0"/>
        <w:spacing w:line="360" w:lineRule="auto"/>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6</w:t>
      </w:r>
      <w:r>
        <w:rPr>
          <w:rFonts w:hint="eastAsia" w:asciiTheme="minorEastAsia" w:hAnsiTheme="minorEastAsia" w:cstheme="minorEastAsia"/>
        </w:rPr>
        <w:t>）报价表；</w:t>
      </w:r>
    </w:p>
    <w:p>
      <w:pPr>
        <w:snapToGrid w:val="0"/>
        <w:spacing w:line="360" w:lineRule="auto"/>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7</w:t>
      </w:r>
      <w:r>
        <w:rPr>
          <w:rFonts w:hint="eastAsia" w:asciiTheme="minorEastAsia" w:hAnsiTheme="minorEastAsia" w:cstheme="minorEastAsia"/>
        </w:rPr>
        <w:t>）资格审查资料；</w:t>
      </w:r>
    </w:p>
    <w:p>
      <w:pPr>
        <w:snapToGrid w:val="0"/>
        <w:spacing w:line="360" w:lineRule="auto"/>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8</w:t>
      </w:r>
      <w:r>
        <w:rPr>
          <w:rFonts w:hint="eastAsia" w:asciiTheme="minorEastAsia" w:hAnsiTheme="minorEastAsia" w:cstheme="minorEastAsia"/>
        </w:rPr>
        <w:t>）投标设备技术性能指标的详细描述；</w:t>
      </w:r>
    </w:p>
    <w:p>
      <w:pPr>
        <w:snapToGrid w:val="0"/>
        <w:spacing w:line="360" w:lineRule="auto"/>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9</w:t>
      </w:r>
      <w:r>
        <w:rPr>
          <w:rFonts w:hint="eastAsia" w:asciiTheme="minorEastAsia" w:hAnsiTheme="minorEastAsia" w:cstheme="minorEastAsia"/>
        </w:rPr>
        <w:t>）技术支持资料；</w:t>
      </w:r>
    </w:p>
    <w:p>
      <w:pPr>
        <w:snapToGrid w:val="0"/>
        <w:spacing w:line="360" w:lineRule="auto"/>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0</w:t>
      </w:r>
      <w:r>
        <w:rPr>
          <w:rFonts w:hint="eastAsia" w:asciiTheme="minorEastAsia" w:hAnsiTheme="minorEastAsia" w:cstheme="minorEastAsia"/>
        </w:rPr>
        <w:t>）技术服务和质保期服务计划；</w:t>
      </w:r>
    </w:p>
    <w:p>
      <w:pPr>
        <w:snapToGrid w:val="0"/>
        <w:spacing w:line="360" w:lineRule="auto"/>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1</w:t>
      </w:r>
      <w:r>
        <w:rPr>
          <w:rFonts w:hint="eastAsia" w:asciiTheme="minorEastAsia" w:hAnsiTheme="minorEastAsia" w:cstheme="minorEastAsia"/>
        </w:rPr>
        <w:t>）投标人须知前附表规定的其他资料。</w:t>
      </w:r>
    </w:p>
    <w:p>
      <w:pPr>
        <w:snapToGrid w:val="0"/>
        <w:spacing w:line="360" w:lineRule="auto"/>
        <w:rPr>
          <w:rFonts w:asciiTheme="minorEastAsia" w:hAnsiTheme="minorEastAsia" w:cstheme="minorEastAsia"/>
        </w:rPr>
      </w:pPr>
      <w:r>
        <w:rPr>
          <w:rFonts w:hint="eastAsia" w:asciiTheme="minorEastAsia" w:hAnsiTheme="minorEastAsia" w:cstheme="minorEastAsia"/>
        </w:rPr>
        <w:t>投标人在评标过程中作出的符合法律法规和招标文件规定的澄清确认，构成投标文件的组成部分。</w:t>
      </w:r>
    </w:p>
    <w:p>
      <w:pPr>
        <w:snapToGrid w:val="0"/>
        <w:spacing w:line="360" w:lineRule="auto"/>
        <w:rPr>
          <w:rFonts w:asciiTheme="minorEastAsia" w:hAnsiTheme="minorEastAsia" w:cstheme="minorEastAsia"/>
        </w:rPr>
      </w:pPr>
      <w:r>
        <w:rPr>
          <w:rFonts w:hint="eastAsia" w:asciiTheme="minorEastAsia" w:hAnsiTheme="minorEastAsia" w:cstheme="minorEastAsia"/>
        </w:rPr>
        <w:t>3.1.2投标人须知前附表规定不接受联合体投标的，或投标人没有组成联合体的，投标文件不包括本章第3.1.1（4）目所指的联合体协议书。</w:t>
      </w:r>
    </w:p>
    <w:p>
      <w:pPr>
        <w:pStyle w:val="7"/>
        <w:snapToGrid w:val="0"/>
        <w:spacing w:before="0" w:after="0" w:line="360" w:lineRule="auto"/>
        <w:rPr>
          <w:rFonts w:cstheme="minorEastAsia"/>
        </w:rPr>
      </w:pPr>
      <w:bookmarkStart w:id="51" w:name="_Toc43907132"/>
      <w:r>
        <w:rPr>
          <w:rFonts w:hint="eastAsia" w:cstheme="minorEastAsia"/>
        </w:rPr>
        <w:t>3.2投标报价</w:t>
      </w:r>
      <w:bookmarkEnd w:id="51"/>
    </w:p>
    <w:p>
      <w:pPr>
        <w:snapToGrid w:val="0"/>
        <w:spacing w:line="360" w:lineRule="auto"/>
        <w:rPr>
          <w:rFonts w:asciiTheme="minorEastAsia" w:hAnsiTheme="minorEastAsia" w:cstheme="minorEastAsia"/>
        </w:rPr>
      </w:pPr>
      <w:r>
        <w:rPr>
          <w:rFonts w:hint="eastAsia" w:asciiTheme="minorEastAsia" w:hAnsiTheme="minorEastAsia" w:cstheme="minorEastAsia"/>
        </w:rPr>
        <w:t>3.2.1投标报价应包括国家规定的增值税税金，除投标人须知前附表另有规定外，增值税税金按国家法律及相关规定计算。投标人应按第六章“投标文件格式”的要求在投标函中进行报价并填写分项报价表。</w:t>
      </w:r>
    </w:p>
    <w:p>
      <w:pPr>
        <w:snapToGrid w:val="0"/>
        <w:spacing w:line="360" w:lineRule="auto"/>
        <w:rPr>
          <w:rFonts w:asciiTheme="minorEastAsia" w:hAnsiTheme="minorEastAsia" w:cstheme="minorEastAsia"/>
        </w:rPr>
      </w:pPr>
      <w:r>
        <w:rPr>
          <w:rFonts w:hint="eastAsia" w:asciiTheme="minorEastAsia" w:hAnsiTheme="minorEastAsia" w:cstheme="minorEastAsia"/>
        </w:rPr>
        <w:t>3.2.2投标人应充分了解该项目的总体情况以及影响投标报价的其他要素。</w:t>
      </w:r>
    </w:p>
    <w:p>
      <w:pPr>
        <w:snapToGrid w:val="0"/>
        <w:spacing w:line="360" w:lineRule="auto"/>
        <w:rPr>
          <w:rFonts w:asciiTheme="minorEastAsia" w:hAnsiTheme="minorEastAsia" w:cstheme="minorEastAsia"/>
        </w:rPr>
      </w:pPr>
      <w:r>
        <w:rPr>
          <w:rFonts w:hint="eastAsia" w:asciiTheme="minorEastAsia" w:hAnsiTheme="minorEastAsia" w:cstheme="minorEastAsia"/>
        </w:rPr>
        <w:t>3.2.3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“分项报价表”中的相应报价。此修改须符合本章第4.3款的有关要求。</w:t>
      </w:r>
    </w:p>
    <w:p>
      <w:pPr>
        <w:snapToGrid w:val="0"/>
        <w:spacing w:line="360" w:lineRule="auto"/>
        <w:rPr>
          <w:rFonts w:asciiTheme="minorEastAsia" w:hAnsiTheme="minorEastAsia" w:cstheme="minorEastAsia"/>
        </w:rPr>
      </w:pPr>
      <w:r>
        <w:rPr>
          <w:rFonts w:hint="eastAsia" w:asciiTheme="minorEastAsia" w:hAnsiTheme="minorEastAsia" w:cstheme="minorEastAsia"/>
        </w:rPr>
        <w:t>3.2.4招标人设有最高投标限价的，投标人的投标报价不得超过最高投标限价，最高投标限价在投标人须知前附表中载明。</w:t>
      </w:r>
    </w:p>
    <w:p>
      <w:pPr>
        <w:snapToGrid w:val="0"/>
        <w:spacing w:line="360" w:lineRule="auto"/>
        <w:rPr>
          <w:rFonts w:asciiTheme="minorEastAsia" w:hAnsiTheme="minorEastAsia" w:cstheme="minorEastAsia"/>
        </w:rPr>
      </w:pPr>
      <w:r>
        <w:rPr>
          <w:rFonts w:hint="eastAsia" w:asciiTheme="minorEastAsia" w:hAnsiTheme="minorEastAsia" w:cstheme="minorEastAsia"/>
        </w:rPr>
        <w:t>3.2.5投标报价的其他要求见投标人须知前附表。</w:t>
      </w:r>
    </w:p>
    <w:p>
      <w:pPr>
        <w:pStyle w:val="7"/>
        <w:snapToGrid w:val="0"/>
        <w:spacing w:before="0" w:after="0" w:line="360" w:lineRule="auto"/>
        <w:rPr>
          <w:rFonts w:cstheme="minorEastAsia"/>
        </w:rPr>
      </w:pPr>
      <w:bookmarkStart w:id="52" w:name="_Toc43907133"/>
      <w:r>
        <w:rPr>
          <w:rFonts w:hint="eastAsia" w:cstheme="minorEastAsia"/>
        </w:rPr>
        <w:t>3.3投标有效期</w:t>
      </w:r>
      <w:bookmarkEnd w:id="52"/>
    </w:p>
    <w:p>
      <w:pPr>
        <w:snapToGrid w:val="0"/>
        <w:spacing w:line="360" w:lineRule="auto"/>
        <w:rPr>
          <w:rFonts w:asciiTheme="minorEastAsia" w:hAnsiTheme="minorEastAsia" w:cstheme="minorEastAsia"/>
        </w:rPr>
      </w:pPr>
      <w:r>
        <w:rPr>
          <w:rFonts w:hint="eastAsia" w:asciiTheme="minorEastAsia" w:hAnsiTheme="minorEastAsia" w:cstheme="minorEastAsia"/>
        </w:rPr>
        <w:t>3.3.1除投标人须知前附表另有规定外，投标有效期为 90 天。</w:t>
      </w:r>
    </w:p>
    <w:p>
      <w:pPr>
        <w:snapToGrid w:val="0"/>
        <w:spacing w:line="360" w:lineRule="auto"/>
        <w:rPr>
          <w:rFonts w:asciiTheme="minorEastAsia" w:hAnsiTheme="minorEastAsia" w:cstheme="minorEastAsia"/>
        </w:rPr>
      </w:pPr>
      <w:r>
        <w:rPr>
          <w:rFonts w:hint="eastAsia" w:asciiTheme="minorEastAsia" w:hAnsiTheme="minorEastAsia" w:cstheme="minorEastAsia"/>
        </w:rPr>
        <w:t>3.3.2在投标有效期内，投标人撤销投标文件的，应承担招标文件和法律规定的责任。</w:t>
      </w:r>
    </w:p>
    <w:p>
      <w:pPr>
        <w:snapToGrid w:val="0"/>
        <w:spacing w:line="360" w:lineRule="auto"/>
        <w:rPr>
          <w:rFonts w:asciiTheme="minorEastAsia" w:hAnsiTheme="minorEastAsia" w:cstheme="minorEastAsia"/>
        </w:rPr>
      </w:pPr>
      <w:r>
        <w:rPr>
          <w:rFonts w:hint="eastAsia" w:asciiTheme="minorEastAsia" w:hAnsiTheme="minorEastAsia" w:cstheme="minorEastAsia"/>
        </w:rPr>
        <w:t>3.3.3出现特殊情况需要延长投标有效期的，招标人以书面形式通知所有投标人延长投标有效期。投标人应予以书面答复，同意延长的但不得要求或被允许修改其投标文件</w:t>
      </w:r>
      <w:r>
        <w:rPr>
          <w:rFonts w:asciiTheme="minorEastAsia" w:hAnsiTheme="minorEastAsia" w:cstheme="minorEastAsia"/>
        </w:rPr>
        <w:t>.</w:t>
      </w:r>
    </w:p>
    <w:p>
      <w:pPr>
        <w:pStyle w:val="7"/>
        <w:snapToGrid w:val="0"/>
        <w:spacing w:before="0" w:after="0" w:line="360" w:lineRule="auto"/>
        <w:rPr>
          <w:rFonts w:cstheme="minorEastAsia"/>
        </w:rPr>
      </w:pPr>
      <w:bookmarkStart w:id="53" w:name="_Toc43907134"/>
      <w:r>
        <w:rPr>
          <w:rFonts w:hint="eastAsia" w:cstheme="minorEastAsia"/>
        </w:rPr>
        <w:t>3.4资格审查资料</w:t>
      </w:r>
      <w:bookmarkEnd w:id="53"/>
    </w:p>
    <w:p>
      <w:pPr>
        <w:snapToGrid w:val="0"/>
        <w:spacing w:line="360" w:lineRule="auto"/>
        <w:rPr>
          <w:rFonts w:asciiTheme="minorEastAsia" w:hAnsiTheme="minorEastAsia" w:cstheme="minorEastAsia"/>
        </w:rPr>
      </w:pPr>
      <w:r>
        <w:rPr>
          <w:rFonts w:hint="eastAsia" w:asciiTheme="minorEastAsia" w:hAnsiTheme="minorEastAsia" w:cstheme="minorEastAsia"/>
        </w:rPr>
        <w:t>投标人应按投标人须知前附表规定提供资格审查资料，以证明其满足本章第1.4款规定的要求。</w:t>
      </w:r>
    </w:p>
    <w:p>
      <w:pPr>
        <w:pStyle w:val="7"/>
        <w:snapToGrid w:val="0"/>
        <w:spacing w:before="0" w:after="0" w:line="360" w:lineRule="auto"/>
        <w:rPr>
          <w:rFonts w:cstheme="minorEastAsia"/>
        </w:rPr>
      </w:pPr>
      <w:bookmarkStart w:id="54" w:name="_Toc43907135"/>
      <w:r>
        <w:rPr>
          <w:rFonts w:hint="eastAsia" w:cstheme="minorEastAsia"/>
        </w:rPr>
        <w:t>3.5备选投标方案</w:t>
      </w:r>
      <w:bookmarkEnd w:id="54"/>
    </w:p>
    <w:p>
      <w:pPr>
        <w:snapToGrid w:val="0"/>
        <w:spacing w:line="360" w:lineRule="auto"/>
        <w:rPr>
          <w:rFonts w:asciiTheme="minorEastAsia" w:hAnsiTheme="minorEastAsia" w:cstheme="minorEastAsia"/>
        </w:rPr>
      </w:pPr>
      <w:r>
        <w:rPr>
          <w:rFonts w:hint="eastAsia" w:asciiTheme="minorEastAsia" w:hAnsiTheme="minorEastAsia" w:cstheme="minorEastAsia"/>
        </w:rPr>
        <w:t>3.6.1除投标人须知前附表规定允许外，投标人不得递交备选投标方案，否则其投标将被否决。</w:t>
      </w:r>
    </w:p>
    <w:p>
      <w:pPr>
        <w:snapToGrid w:val="0"/>
        <w:spacing w:line="360" w:lineRule="auto"/>
        <w:rPr>
          <w:rFonts w:asciiTheme="minorEastAsia" w:hAnsiTheme="minorEastAsia" w:cstheme="minorEastAsia"/>
        </w:rPr>
      </w:pPr>
      <w:r>
        <w:rPr>
          <w:rFonts w:hint="eastAsia" w:asciiTheme="minorEastAsia" w:hAnsiTheme="minorEastAsia" w:cstheme="minorEastAsia"/>
        </w:rPr>
        <w:t>3.6.2允许投标人递交备选投标方案的，只有中标人所递交的备选投标方案方可予以考虑。评标委员会认为中标人的备选投标方案优于其按照招标文件要求编制的投标方案的，招标人可以接受该备选投标方案。</w:t>
      </w:r>
    </w:p>
    <w:p>
      <w:pPr>
        <w:snapToGrid w:val="0"/>
        <w:spacing w:line="360" w:lineRule="auto"/>
        <w:rPr>
          <w:rFonts w:asciiTheme="minorEastAsia" w:hAnsiTheme="minorEastAsia" w:cstheme="minorEastAsia"/>
        </w:rPr>
      </w:pPr>
      <w:r>
        <w:rPr>
          <w:rFonts w:hint="eastAsia" w:asciiTheme="minorEastAsia" w:hAnsiTheme="minorEastAsia" w:cstheme="minorEastAsia"/>
        </w:rPr>
        <w:t>3.6.3投标人提供两个或两个以上投标报价，或者在投标文件中提供一个报价，但同时提供两个或两个以上供货方案的，视为提供备选方案。</w:t>
      </w:r>
    </w:p>
    <w:p>
      <w:pPr>
        <w:pStyle w:val="7"/>
        <w:snapToGrid w:val="0"/>
        <w:spacing w:before="0" w:after="0" w:line="360" w:lineRule="auto"/>
        <w:rPr>
          <w:rFonts w:cstheme="minorEastAsia"/>
        </w:rPr>
      </w:pPr>
      <w:bookmarkStart w:id="55" w:name="_Toc43907136"/>
      <w:r>
        <w:rPr>
          <w:rFonts w:hint="eastAsia" w:cstheme="minorEastAsia"/>
        </w:rPr>
        <w:t>3.6投标文件的编制</w:t>
      </w:r>
      <w:bookmarkEnd w:id="55"/>
    </w:p>
    <w:p>
      <w:pPr>
        <w:snapToGrid w:val="0"/>
        <w:spacing w:line="360" w:lineRule="auto"/>
        <w:rPr>
          <w:rFonts w:asciiTheme="minorEastAsia" w:hAnsiTheme="minorEastAsia" w:cstheme="minorEastAsia"/>
        </w:rPr>
      </w:pPr>
      <w:r>
        <w:rPr>
          <w:rFonts w:hint="eastAsia" w:asciiTheme="minorEastAsia" w:hAnsiTheme="minorEastAsia" w:cstheme="minorEastAsia"/>
        </w:rPr>
        <w:t>3.7.1投标文件应按第六章“投标文件格式”进行编写，如有必要，可以增加附页，作为投标文件的组成部分。</w:t>
      </w:r>
    </w:p>
    <w:p>
      <w:pPr>
        <w:snapToGrid w:val="0"/>
        <w:spacing w:line="360" w:lineRule="auto"/>
        <w:rPr>
          <w:rFonts w:asciiTheme="minorEastAsia" w:hAnsiTheme="minorEastAsia" w:cstheme="minorEastAsia"/>
        </w:rPr>
      </w:pPr>
      <w:r>
        <w:rPr>
          <w:rFonts w:hint="eastAsia" w:asciiTheme="minorEastAsia" w:hAnsiTheme="minorEastAsia" w:cstheme="minorEastAsia"/>
        </w:rPr>
        <w:t>3.7.2投标文件应当对招标文件有关供货期、投标有效期、供货要求、招标范围等实质性内容作出响应。投标文件在满足招标文件实质性要求的基础上，可以提出比招标文件要求更有利于招标人的承诺。</w:t>
      </w:r>
    </w:p>
    <w:p>
      <w:pPr>
        <w:snapToGrid w:val="0"/>
        <w:spacing w:line="360" w:lineRule="auto"/>
        <w:rPr>
          <w:rFonts w:asciiTheme="minorEastAsia" w:hAnsiTheme="minorEastAsia" w:cstheme="minorEastAsia"/>
        </w:rPr>
      </w:pPr>
      <w:r>
        <w:rPr>
          <w:rFonts w:hint="eastAsia" w:asciiTheme="minorEastAsia" w:hAnsiTheme="minorEastAsia" w:cstheme="minorEastAsia"/>
        </w:rPr>
        <w:t>3.7.3（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pPr>
        <w:snapToGrid w:val="0"/>
        <w:spacing w:line="360" w:lineRule="auto"/>
        <w:rPr>
          <w:rFonts w:asciiTheme="minorEastAsia" w:hAnsiTheme="minorEastAsia" w:cstheme="minorEastAsia"/>
        </w:rPr>
      </w:pPr>
      <w:r>
        <w:rPr>
          <w:rFonts w:hint="eastAsia" w:asciiTheme="minorEastAsia" w:hAnsiTheme="minorEastAsia" w:cstheme="minorEastAsia"/>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napToGrid w:val="0"/>
        <w:spacing w:line="360" w:lineRule="auto"/>
        <w:rPr>
          <w:rFonts w:asciiTheme="minorEastAsia" w:hAnsiTheme="minorEastAsia" w:cstheme="minorEastAsia"/>
        </w:rPr>
      </w:pPr>
      <w:r>
        <w:rPr>
          <w:rFonts w:hint="eastAsia" w:asciiTheme="minorEastAsia" w:hAnsiTheme="minorEastAsia" w:cstheme="minorEastAsia"/>
        </w:rPr>
        <w:t>（3）投标文件的正本与副本应分别装订，并编制目录，投标文件需分册装订的，具体分册装订要求见投标人须知前附表规定。</w:t>
      </w:r>
    </w:p>
    <w:p>
      <w:pPr>
        <w:pStyle w:val="6"/>
        <w:snapToGrid w:val="0"/>
        <w:spacing w:before="0" w:after="0" w:line="360" w:lineRule="auto"/>
        <w:rPr>
          <w:rFonts w:cstheme="minorEastAsia"/>
        </w:rPr>
      </w:pPr>
      <w:bookmarkStart w:id="56" w:name="_Toc43907137"/>
      <w:r>
        <w:rPr>
          <w:rFonts w:hint="eastAsia" w:cstheme="minorEastAsia"/>
        </w:rPr>
        <w:t>4.投标</w:t>
      </w:r>
      <w:bookmarkEnd w:id="56"/>
    </w:p>
    <w:p>
      <w:pPr>
        <w:pStyle w:val="7"/>
        <w:snapToGrid w:val="0"/>
        <w:spacing w:before="0" w:after="0" w:line="360" w:lineRule="auto"/>
        <w:rPr>
          <w:rFonts w:cstheme="minorEastAsia"/>
        </w:rPr>
      </w:pPr>
      <w:bookmarkStart w:id="57" w:name="_Toc43907138"/>
      <w:r>
        <w:rPr>
          <w:rFonts w:hint="eastAsia" w:cstheme="minorEastAsia"/>
        </w:rPr>
        <w:t>4.1投标文件的密封和标记</w:t>
      </w:r>
      <w:bookmarkEnd w:id="57"/>
    </w:p>
    <w:p>
      <w:pPr>
        <w:snapToGrid w:val="0"/>
        <w:spacing w:line="360" w:lineRule="auto"/>
        <w:rPr>
          <w:rFonts w:asciiTheme="minorEastAsia" w:hAnsiTheme="minorEastAsia" w:cstheme="minorEastAsia"/>
        </w:rPr>
      </w:pPr>
      <w:r>
        <w:rPr>
          <w:rFonts w:hint="eastAsia" w:asciiTheme="minorEastAsia" w:hAnsiTheme="minorEastAsia" w:cstheme="minorEastAsia"/>
        </w:rPr>
        <w:t>4.1.1投标文件应密封包装，并在封套的封口处加盖投标人单位章或由投标人的法定代表人（单位负责人）或其授权的代理人签字。</w:t>
      </w:r>
    </w:p>
    <w:p>
      <w:pPr>
        <w:snapToGrid w:val="0"/>
        <w:spacing w:line="360" w:lineRule="auto"/>
        <w:rPr>
          <w:rFonts w:asciiTheme="minorEastAsia" w:hAnsiTheme="minorEastAsia" w:cstheme="minorEastAsia"/>
        </w:rPr>
      </w:pPr>
      <w:r>
        <w:rPr>
          <w:rFonts w:hint="eastAsia" w:asciiTheme="minorEastAsia" w:hAnsiTheme="minorEastAsia" w:cstheme="minorEastAsia"/>
        </w:rPr>
        <w:t>4.1.2投标文件封套上应写明的内容见投标人须知前附表。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4.1.3未按本章第4.1.1项要求密封的投标文件，招标人将予以拒收。</w:t>
      </w:r>
    </w:p>
    <w:p>
      <w:pPr>
        <w:pStyle w:val="7"/>
        <w:snapToGrid w:val="0"/>
        <w:spacing w:before="0" w:after="0" w:line="360" w:lineRule="auto"/>
        <w:rPr>
          <w:rFonts w:cstheme="minorEastAsia"/>
        </w:rPr>
      </w:pPr>
      <w:bookmarkStart w:id="58" w:name="_Toc43907139"/>
      <w:r>
        <w:rPr>
          <w:rFonts w:hint="eastAsia" w:cstheme="minorEastAsia"/>
        </w:rPr>
        <w:t>4.2投标文件的递交</w:t>
      </w:r>
      <w:bookmarkEnd w:id="58"/>
    </w:p>
    <w:p>
      <w:pPr>
        <w:snapToGrid w:val="0"/>
        <w:spacing w:line="360" w:lineRule="auto"/>
        <w:rPr>
          <w:rFonts w:asciiTheme="minorEastAsia" w:hAnsiTheme="minorEastAsia" w:cstheme="minorEastAsia"/>
        </w:rPr>
      </w:pPr>
      <w:r>
        <w:rPr>
          <w:rFonts w:hint="eastAsia" w:asciiTheme="minorEastAsia" w:hAnsiTheme="minorEastAsia" w:cstheme="minorEastAsia"/>
        </w:rPr>
        <w:t>4.2.1投标人应在投标人须知前附表规定的投标截止时间前递交投标文件。</w:t>
      </w:r>
    </w:p>
    <w:p>
      <w:pPr>
        <w:snapToGrid w:val="0"/>
        <w:spacing w:line="360" w:lineRule="auto"/>
        <w:rPr>
          <w:rFonts w:asciiTheme="minorEastAsia" w:hAnsiTheme="minorEastAsia" w:cstheme="minorEastAsia"/>
        </w:rPr>
      </w:pPr>
      <w:r>
        <w:rPr>
          <w:rFonts w:hint="eastAsia" w:asciiTheme="minorEastAsia" w:hAnsiTheme="minorEastAsia" w:cstheme="minorEastAsia"/>
        </w:rPr>
        <w:t>4.2.2投标人递交投标文件的地点：见投标人须知前附表。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4.2.3除投标人须知前附表另有规定外，投标人所递交的投标文件不予退还。</w:t>
      </w:r>
    </w:p>
    <w:p>
      <w:pPr>
        <w:snapToGrid w:val="0"/>
        <w:spacing w:line="360" w:lineRule="auto"/>
        <w:rPr>
          <w:rFonts w:asciiTheme="minorEastAsia" w:hAnsiTheme="minorEastAsia" w:cstheme="minorEastAsia"/>
        </w:rPr>
      </w:pPr>
      <w:r>
        <w:rPr>
          <w:rFonts w:hint="eastAsia" w:asciiTheme="minorEastAsia" w:hAnsiTheme="minorEastAsia" w:cstheme="minorEastAsia"/>
        </w:rPr>
        <w:t>4.2.4逾期送达的投标文件，招标人将予以拒收。</w:t>
      </w:r>
    </w:p>
    <w:p>
      <w:pPr>
        <w:pStyle w:val="7"/>
        <w:snapToGrid w:val="0"/>
        <w:spacing w:before="0" w:after="0" w:line="360" w:lineRule="auto"/>
        <w:rPr>
          <w:rFonts w:cstheme="minorEastAsia"/>
        </w:rPr>
      </w:pPr>
      <w:bookmarkStart w:id="59" w:name="_Toc43907140"/>
      <w:r>
        <w:rPr>
          <w:rFonts w:hint="eastAsia" w:cstheme="minorEastAsia"/>
        </w:rPr>
        <w:t>4.3投标文件的修改与撤回</w:t>
      </w:r>
      <w:bookmarkEnd w:id="59"/>
    </w:p>
    <w:p>
      <w:pPr>
        <w:snapToGrid w:val="0"/>
        <w:spacing w:line="360" w:lineRule="auto"/>
        <w:rPr>
          <w:rFonts w:asciiTheme="minorEastAsia" w:hAnsiTheme="minorEastAsia" w:cstheme="minorEastAsia"/>
        </w:rPr>
      </w:pPr>
      <w:r>
        <w:rPr>
          <w:rFonts w:hint="eastAsia" w:asciiTheme="minorEastAsia" w:hAnsiTheme="minorEastAsia" w:cstheme="minorEastAsia"/>
        </w:rPr>
        <w:t>4.3.1在本章第4.2.1项规定的投标截止时间前，投标人可以修改或撤回已递交的投标文件，但应以书面形式通知招标人。</w:t>
      </w:r>
    </w:p>
    <w:p>
      <w:pPr>
        <w:snapToGrid w:val="0"/>
        <w:spacing w:line="360" w:lineRule="auto"/>
        <w:rPr>
          <w:rFonts w:asciiTheme="minorEastAsia" w:hAnsiTheme="minorEastAsia" w:cstheme="minorEastAsia"/>
        </w:rPr>
      </w:pPr>
      <w:r>
        <w:rPr>
          <w:rFonts w:hint="eastAsia" w:asciiTheme="minorEastAsia" w:hAnsiTheme="minorEastAsia" w:cstheme="minorEastAsia"/>
        </w:rPr>
        <w:t>4.3.2投标人修改或撤回已递交投标文件的书面通知应按照本章第 3.7.3项的要求签字或盖章。招标人收到书面通知后，向投标人出具签收凭证。</w:t>
      </w:r>
    </w:p>
    <w:p>
      <w:pPr>
        <w:snapToGrid w:val="0"/>
        <w:spacing w:line="360" w:lineRule="auto"/>
        <w:rPr>
          <w:rFonts w:asciiTheme="minorEastAsia" w:hAnsiTheme="minorEastAsia" w:cstheme="minorEastAsia"/>
        </w:rPr>
      </w:pPr>
      <w:r>
        <w:rPr>
          <w:rFonts w:hint="eastAsia" w:asciiTheme="minorEastAsia" w:hAnsiTheme="minorEastAsia" w:cstheme="minorEastAsia"/>
        </w:rPr>
        <w:t>4.3.</w:t>
      </w:r>
      <w:r>
        <w:rPr>
          <w:rFonts w:asciiTheme="minorEastAsia" w:hAnsiTheme="minorEastAsia" w:cstheme="minorEastAsia"/>
        </w:rPr>
        <w:t>3</w:t>
      </w:r>
      <w:r>
        <w:rPr>
          <w:rFonts w:hint="eastAsia" w:asciiTheme="minorEastAsia" w:hAnsiTheme="minorEastAsia" w:cstheme="minorEastAsia"/>
        </w:rPr>
        <w:t>修改的内容为投标文件的组成部分。修改的投标文件应按照本章第3条、第4条的规定进行编制、密封、标记和递交，并标明“修改”字样。</w:t>
      </w:r>
    </w:p>
    <w:p>
      <w:pPr>
        <w:pStyle w:val="6"/>
        <w:snapToGrid w:val="0"/>
        <w:spacing w:before="0" w:after="0" w:line="360" w:lineRule="auto"/>
        <w:rPr>
          <w:rFonts w:cstheme="minorEastAsia"/>
        </w:rPr>
      </w:pPr>
      <w:bookmarkStart w:id="60" w:name="_Toc43907141"/>
      <w:r>
        <w:rPr>
          <w:rFonts w:hint="eastAsia" w:cstheme="minorEastAsia"/>
        </w:rPr>
        <w:t>5.开标</w:t>
      </w:r>
      <w:bookmarkEnd w:id="60"/>
    </w:p>
    <w:p>
      <w:pPr>
        <w:pStyle w:val="7"/>
        <w:snapToGrid w:val="0"/>
        <w:spacing w:before="0" w:after="0" w:line="360" w:lineRule="auto"/>
        <w:rPr>
          <w:rFonts w:cstheme="minorEastAsia"/>
        </w:rPr>
      </w:pPr>
      <w:bookmarkStart w:id="61" w:name="_Toc43907142"/>
      <w:r>
        <w:rPr>
          <w:rFonts w:hint="eastAsia" w:cstheme="minorEastAsia"/>
        </w:rPr>
        <w:t>5.1开标时间和地点</w:t>
      </w:r>
      <w:bookmarkEnd w:id="61"/>
    </w:p>
    <w:p>
      <w:pPr>
        <w:snapToGrid w:val="0"/>
        <w:spacing w:line="360" w:lineRule="auto"/>
        <w:rPr>
          <w:rFonts w:asciiTheme="minorEastAsia" w:hAnsiTheme="minorEastAsia" w:cstheme="minorEastAsia"/>
          <w:b/>
          <w:bCs/>
        </w:rPr>
      </w:pPr>
      <w:r>
        <w:rPr>
          <w:rFonts w:hint="eastAsia" w:asciiTheme="minorEastAsia" w:hAnsiTheme="minorEastAsia" w:cstheme="minorEastAsia"/>
        </w:rPr>
        <w:t>招标人在本章第4.2.1项规定的投标截止时间（开标时间）和投标人须知前附表规定的地点公开开标，</w:t>
      </w:r>
      <w:r>
        <w:rPr>
          <w:rFonts w:hint="eastAsia" w:asciiTheme="minorEastAsia" w:hAnsiTheme="minorEastAsia" w:cstheme="minorEastAsia"/>
          <w:b/>
          <w:bCs/>
        </w:rPr>
        <w:t>并邀请所有投标人的法定代表人（单位负责人）或其委托代理人准时参加。</w:t>
      </w:r>
    </w:p>
    <w:p>
      <w:pPr>
        <w:pStyle w:val="7"/>
        <w:snapToGrid w:val="0"/>
        <w:spacing w:before="0" w:after="0" w:line="360" w:lineRule="auto"/>
        <w:rPr>
          <w:rFonts w:cstheme="minorEastAsia"/>
        </w:rPr>
      </w:pPr>
      <w:bookmarkStart w:id="62" w:name="_Toc43907143"/>
      <w:r>
        <w:rPr>
          <w:rFonts w:hint="eastAsia" w:cstheme="minorEastAsia"/>
        </w:rPr>
        <w:t>5.2开标程序</w:t>
      </w:r>
      <w:bookmarkEnd w:id="62"/>
    </w:p>
    <w:p>
      <w:pPr>
        <w:snapToGrid w:val="0"/>
        <w:spacing w:line="360" w:lineRule="auto"/>
        <w:rPr>
          <w:rFonts w:asciiTheme="minorEastAsia" w:hAnsiTheme="minorEastAsia" w:cstheme="minorEastAsia"/>
        </w:rPr>
      </w:pPr>
      <w:r>
        <w:rPr>
          <w:rFonts w:hint="eastAsia" w:asciiTheme="minorEastAsia" w:hAnsiTheme="minorEastAsia" w:cstheme="minorEastAsia"/>
        </w:rPr>
        <w:t>主持人按下列程序进行开标：</w:t>
      </w:r>
    </w:p>
    <w:p>
      <w:pPr>
        <w:snapToGrid w:val="0"/>
        <w:spacing w:line="360" w:lineRule="auto"/>
        <w:rPr>
          <w:rFonts w:asciiTheme="minorEastAsia" w:hAnsiTheme="minorEastAsia" w:cstheme="minorEastAsia"/>
        </w:rPr>
      </w:pPr>
      <w:r>
        <w:rPr>
          <w:rFonts w:hint="eastAsia" w:asciiTheme="minorEastAsia" w:hAnsiTheme="minorEastAsia" w:cstheme="minorEastAsia"/>
        </w:rPr>
        <w:t>（1）宣布开标纪律；</w:t>
      </w:r>
    </w:p>
    <w:p>
      <w:pPr>
        <w:snapToGrid w:val="0"/>
        <w:spacing w:line="360" w:lineRule="auto"/>
        <w:rPr>
          <w:rFonts w:asciiTheme="minorEastAsia" w:hAnsiTheme="minorEastAsia" w:cstheme="minorEastAsia"/>
        </w:rPr>
      </w:pPr>
      <w:r>
        <w:rPr>
          <w:rFonts w:hint="eastAsia" w:asciiTheme="minorEastAsia" w:hAnsiTheme="minorEastAsia" w:cstheme="minorEastAsia"/>
        </w:rPr>
        <w:t>（2）公布在投标截止时间前递交投标文件的投标人名称；</w:t>
      </w:r>
    </w:p>
    <w:p>
      <w:pPr>
        <w:snapToGrid w:val="0"/>
        <w:spacing w:line="360" w:lineRule="auto"/>
        <w:rPr>
          <w:rFonts w:asciiTheme="minorEastAsia" w:hAnsiTheme="minorEastAsia" w:cstheme="minorEastAsia"/>
        </w:rPr>
      </w:pPr>
      <w:r>
        <w:rPr>
          <w:rFonts w:hint="eastAsia" w:asciiTheme="minorEastAsia" w:hAnsiTheme="minorEastAsia" w:cstheme="minorEastAsia"/>
        </w:rPr>
        <w:t>（3）宣布开标人、唱标人、记录人、监标人等有关人员姓名；</w:t>
      </w:r>
    </w:p>
    <w:p>
      <w:pPr>
        <w:snapToGrid w:val="0"/>
        <w:spacing w:line="360" w:lineRule="auto"/>
        <w:rPr>
          <w:rFonts w:asciiTheme="minorEastAsia" w:hAnsiTheme="minorEastAsia" w:cstheme="minorEastAsia"/>
        </w:rPr>
      </w:pPr>
      <w:r>
        <w:rPr>
          <w:rFonts w:hint="eastAsia" w:asciiTheme="minorEastAsia" w:hAnsiTheme="minorEastAsia" w:cstheme="minorEastAsia"/>
        </w:rPr>
        <w:t>（4）检查投标文件的密封情况，按照投标人须知前附表规定的开标顺序当众开标，公布招标项目名称、投标人名称、投标报价、交货期、交货地点及其他内容，并记录在案；</w:t>
      </w:r>
    </w:p>
    <w:p>
      <w:pPr>
        <w:snapToGrid w:val="0"/>
        <w:spacing w:line="360" w:lineRule="auto"/>
        <w:rPr>
          <w:rFonts w:asciiTheme="minorEastAsia" w:hAnsiTheme="minorEastAsia" w:cstheme="minorEastAsia"/>
        </w:rPr>
      </w:pPr>
      <w:r>
        <w:rPr>
          <w:rFonts w:hint="eastAsia" w:asciiTheme="minorEastAsia" w:hAnsiTheme="minorEastAsia" w:cstheme="minorEastAsia"/>
        </w:rPr>
        <w:t>（5）投标人代表、招标人代表、监标人、记录人等有关人员在开标记录上签字确认；</w:t>
      </w:r>
    </w:p>
    <w:p>
      <w:pPr>
        <w:snapToGrid w:val="0"/>
        <w:spacing w:line="360" w:lineRule="auto"/>
        <w:rPr>
          <w:rFonts w:asciiTheme="minorEastAsia" w:hAnsiTheme="minorEastAsia" w:cstheme="minorEastAsia"/>
        </w:rPr>
      </w:pPr>
      <w:r>
        <w:rPr>
          <w:rFonts w:hint="eastAsia" w:asciiTheme="minorEastAsia" w:hAnsiTheme="minorEastAsia" w:cstheme="minorEastAsia"/>
        </w:rPr>
        <w:t>（6）开标结束。</w:t>
      </w:r>
    </w:p>
    <w:p>
      <w:pPr>
        <w:pStyle w:val="7"/>
        <w:snapToGrid w:val="0"/>
        <w:spacing w:before="0" w:after="0" w:line="360" w:lineRule="auto"/>
        <w:rPr>
          <w:rFonts w:cstheme="minorEastAsia"/>
        </w:rPr>
      </w:pPr>
      <w:bookmarkStart w:id="63" w:name="_Toc43907144"/>
      <w:r>
        <w:rPr>
          <w:rFonts w:hint="eastAsia" w:cstheme="minorEastAsia"/>
        </w:rPr>
        <w:t>5.3开标异议</w:t>
      </w:r>
      <w:bookmarkEnd w:id="63"/>
    </w:p>
    <w:p>
      <w:pPr>
        <w:snapToGrid w:val="0"/>
        <w:spacing w:line="360" w:lineRule="auto"/>
        <w:rPr>
          <w:rFonts w:asciiTheme="minorEastAsia" w:hAnsiTheme="minorEastAsia" w:cstheme="minorEastAsia"/>
        </w:rPr>
      </w:pPr>
      <w:r>
        <w:rPr>
          <w:rFonts w:hint="eastAsia" w:asciiTheme="minorEastAsia" w:hAnsiTheme="minorEastAsia" w:cstheme="minorEastAsia"/>
        </w:rPr>
        <w:t>投标人对开标有异议的，应当在开标现场提出，招标人当场作出答复，并制作记录。</w:t>
      </w:r>
    </w:p>
    <w:p>
      <w:pPr>
        <w:pStyle w:val="6"/>
        <w:snapToGrid w:val="0"/>
        <w:spacing w:before="0" w:after="0" w:line="360" w:lineRule="auto"/>
        <w:rPr>
          <w:rFonts w:cstheme="minorEastAsia"/>
        </w:rPr>
      </w:pPr>
      <w:bookmarkStart w:id="64" w:name="_Toc43907145"/>
      <w:r>
        <w:rPr>
          <w:rFonts w:hint="eastAsia" w:cstheme="minorEastAsia"/>
        </w:rPr>
        <w:t>6.评标</w:t>
      </w:r>
      <w:bookmarkEnd w:id="64"/>
    </w:p>
    <w:p>
      <w:pPr>
        <w:pStyle w:val="7"/>
        <w:snapToGrid w:val="0"/>
        <w:spacing w:before="0" w:after="0" w:line="360" w:lineRule="auto"/>
        <w:rPr>
          <w:rFonts w:cstheme="minorEastAsia"/>
        </w:rPr>
      </w:pPr>
      <w:bookmarkStart w:id="65" w:name="_Toc43907146"/>
      <w:r>
        <w:rPr>
          <w:rFonts w:hint="eastAsia" w:cstheme="minorEastAsia"/>
        </w:rPr>
        <w:t>6.1评标委员会</w:t>
      </w:r>
      <w:bookmarkEnd w:id="65"/>
    </w:p>
    <w:p>
      <w:pPr>
        <w:snapToGrid w:val="0"/>
        <w:spacing w:line="360" w:lineRule="auto"/>
        <w:rPr>
          <w:rFonts w:asciiTheme="minorEastAsia" w:hAnsiTheme="minorEastAsia" w:cstheme="minorEastAsia"/>
        </w:rPr>
      </w:pPr>
      <w:r>
        <w:rPr>
          <w:rFonts w:hint="eastAsia" w:asciiTheme="minorEastAsia" w:hAnsiTheme="minorEastAsia" w:cstheme="minorEastAsia"/>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6.1.2评标委员会成员有下列情形之一的，应当回避：</w:t>
      </w:r>
    </w:p>
    <w:p>
      <w:pPr>
        <w:snapToGrid w:val="0"/>
        <w:spacing w:line="360" w:lineRule="auto"/>
        <w:rPr>
          <w:rFonts w:asciiTheme="minorEastAsia" w:hAnsiTheme="minorEastAsia" w:cstheme="minorEastAsia"/>
        </w:rPr>
      </w:pPr>
      <w:r>
        <w:rPr>
          <w:rFonts w:hint="eastAsia" w:asciiTheme="minorEastAsia" w:hAnsiTheme="minorEastAsia" w:cstheme="minorEastAsia"/>
        </w:rPr>
        <w:t>（1）投标人或投标人主要负责人的近亲属；</w:t>
      </w:r>
    </w:p>
    <w:p>
      <w:pPr>
        <w:snapToGrid w:val="0"/>
        <w:spacing w:line="360" w:lineRule="auto"/>
        <w:rPr>
          <w:rFonts w:asciiTheme="minorEastAsia" w:hAnsiTheme="minorEastAsia" w:cstheme="minorEastAsia"/>
        </w:rPr>
      </w:pPr>
      <w:r>
        <w:rPr>
          <w:rFonts w:hint="eastAsia" w:asciiTheme="minorEastAsia" w:hAnsiTheme="minorEastAsia" w:cstheme="minorEastAsia"/>
        </w:rPr>
        <w:t>（2）项目主管部门或者行政监督部门的人员；</w:t>
      </w:r>
    </w:p>
    <w:p>
      <w:pPr>
        <w:snapToGrid w:val="0"/>
        <w:spacing w:line="360" w:lineRule="auto"/>
        <w:rPr>
          <w:rFonts w:asciiTheme="minorEastAsia" w:hAnsiTheme="minorEastAsia" w:cstheme="minorEastAsia"/>
        </w:rPr>
      </w:pPr>
      <w:r>
        <w:rPr>
          <w:rFonts w:hint="eastAsia" w:asciiTheme="minorEastAsia" w:hAnsiTheme="minorEastAsia" w:cstheme="minorEastAsia"/>
        </w:rPr>
        <w:t>（3）与投标人有经济利益关系，可能影响对投标公正评审的；</w:t>
      </w:r>
    </w:p>
    <w:p>
      <w:pPr>
        <w:snapToGrid w:val="0"/>
        <w:spacing w:line="360" w:lineRule="auto"/>
        <w:rPr>
          <w:rFonts w:asciiTheme="minorEastAsia" w:hAnsiTheme="minorEastAsia" w:cstheme="minorEastAsia"/>
        </w:rPr>
      </w:pPr>
      <w:r>
        <w:rPr>
          <w:rFonts w:hint="eastAsia" w:asciiTheme="minorEastAsia" w:hAnsiTheme="minorEastAsia" w:cstheme="minorEastAsia"/>
        </w:rPr>
        <w:t>（4）曾因在招标、评标以及其他与招标投标有关活动中从事违法行为而受过行政处罚或刑事处罚的；</w:t>
      </w:r>
    </w:p>
    <w:p>
      <w:pPr>
        <w:snapToGrid w:val="0"/>
        <w:spacing w:line="360" w:lineRule="auto"/>
        <w:rPr>
          <w:rFonts w:asciiTheme="minorEastAsia" w:hAnsiTheme="minorEastAsia" w:cstheme="minorEastAsia"/>
        </w:rPr>
      </w:pPr>
      <w:r>
        <w:rPr>
          <w:rFonts w:hint="eastAsia" w:asciiTheme="minorEastAsia" w:hAnsiTheme="minorEastAsia" w:cstheme="minorEastAsia"/>
        </w:rPr>
        <w:t>（5）与投标人有其他利害关系。</w:t>
      </w:r>
    </w:p>
    <w:p>
      <w:pPr>
        <w:snapToGrid w:val="0"/>
        <w:spacing w:line="360" w:lineRule="auto"/>
        <w:rPr>
          <w:rFonts w:asciiTheme="minorEastAsia" w:hAnsiTheme="minorEastAsia" w:cstheme="minorEastAsia"/>
        </w:rPr>
      </w:pPr>
      <w:r>
        <w:rPr>
          <w:rFonts w:hint="eastAsia" w:asciiTheme="minorEastAsia" w:hAnsiTheme="minorEastAsia" w:cstheme="minorEastAsia"/>
        </w:rPr>
        <w:t>6.1.3评标过程中，评标委员会成员有回避事由、擅离职守或者因健康等原因不能继续评标的，招标人有权更换。被更换的评标委员会成员作出的评审结论无效，由更换后的评标委员会成员重新进行评审。</w:t>
      </w:r>
    </w:p>
    <w:p>
      <w:pPr>
        <w:pStyle w:val="7"/>
        <w:snapToGrid w:val="0"/>
        <w:spacing w:before="0" w:after="0" w:line="360" w:lineRule="auto"/>
        <w:rPr>
          <w:rFonts w:cstheme="minorEastAsia"/>
        </w:rPr>
      </w:pPr>
      <w:bookmarkStart w:id="66" w:name="_Toc43907147"/>
      <w:r>
        <w:rPr>
          <w:rFonts w:hint="eastAsia" w:cstheme="minorEastAsia"/>
        </w:rPr>
        <w:t>6.2评标原则</w:t>
      </w:r>
      <w:bookmarkEnd w:id="66"/>
    </w:p>
    <w:p>
      <w:pPr>
        <w:snapToGrid w:val="0"/>
        <w:spacing w:line="360" w:lineRule="auto"/>
        <w:rPr>
          <w:rFonts w:asciiTheme="minorEastAsia" w:hAnsiTheme="minorEastAsia" w:cstheme="minorEastAsia"/>
        </w:rPr>
      </w:pPr>
      <w:r>
        <w:rPr>
          <w:rFonts w:hint="eastAsia" w:asciiTheme="minorEastAsia" w:hAnsiTheme="minorEastAsia" w:cstheme="minorEastAsia"/>
        </w:rPr>
        <w:t>评标活动遵循公平、公正、科学和择优的原则。</w:t>
      </w:r>
    </w:p>
    <w:p>
      <w:pPr>
        <w:pStyle w:val="7"/>
        <w:snapToGrid w:val="0"/>
        <w:spacing w:before="0" w:after="0" w:line="360" w:lineRule="auto"/>
        <w:rPr>
          <w:rFonts w:cstheme="minorEastAsia"/>
        </w:rPr>
      </w:pPr>
      <w:bookmarkStart w:id="67" w:name="_Toc43907148"/>
      <w:r>
        <w:rPr>
          <w:rFonts w:hint="eastAsia" w:cstheme="minorEastAsia"/>
        </w:rPr>
        <w:t>6.3评标</w:t>
      </w:r>
      <w:bookmarkEnd w:id="67"/>
    </w:p>
    <w:p>
      <w:pPr>
        <w:snapToGrid w:val="0"/>
        <w:spacing w:line="360" w:lineRule="auto"/>
        <w:rPr>
          <w:rFonts w:asciiTheme="minorEastAsia" w:hAnsiTheme="minorEastAsia" w:cstheme="minorEastAsia"/>
        </w:rPr>
      </w:pPr>
      <w:r>
        <w:rPr>
          <w:rFonts w:hint="eastAsia" w:asciiTheme="minorEastAsia" w:hAnsiTheme="minorEastAsia" w:cstheme="minorEastAsia"/>
        </w:rPr>
        <w:t>6.3.1评标委员会按照第三章“评标办法”规定的方法、评审因素、标准和程序对投标文件进行评审。第三章“评标办法”没有规定的方法、评审因素和标准，不作为评标依据。</w:t>
      </w:r>
    </w:p>
    <w:p>
      <w:pPr>
        <w:snapToGrid w:val="0"/>
        <w:spacing w:line="360" w:lineRule="auto"/>
        <w:rPr>
          <w:rFonts w:asciiTheme="minorEastAsia" w:hAnsiTheme="minorEastAsia" w:cstheme="minorEastAsia"/>
        </w:rPr>
      </w:pPr>
      <w:r>
        <w:rPr>
          <w:rFonts w:hint="eastAsia" w:asciiTheme="minorEastAsia" w:hAnsiTheme="minorEastAsia" w:cstheme="minorEastAsia"/>
        </w:rPr>
        <w:t>6.3.2评标完成后，评标委员会应当向招标人提交书面评标报告和中标候选人名单。评标委员会推荐中标候选人的人数见投标人须知前附表。</w:t>
      </w:r>
    </w:p>
    <w:p>
      <w:pPr>
        <w:pStyle w:val="6"/>
        <w:snapToGrid w:val="0"/>
        <w:spacing w:before="0" w:after="0" w:line="360" w:lineRule="auto"/>
        <w:rPr>
          <w:rFonts w:cstheme="minorEastAsia"/>
        </w:rPr>
      </w:pPr>
      <w:bookmarkStart w:id="68" w:name="_Toc43907149"/>
      <w:r>
        <w:rPr>
          <w:rFonts w:hint="eastAsia" w:cstheme="minorEastAsia"/>
        </w:rPr>
        <w:t>7.合同授予</w:t>
      </w:r>
      <w:bookmarkEnd w:id="68"/>
    </w:p>
    <w:p>
      <w:pPr>
        <w:pStyle w:val="7"/>
        <w:snapToGrid w:val="0"/>
        <w:spacing w:before="0" w:after="0" w:line="360" w:lineRule="auto"/>
        <w:rPr>
          <w:rFonts w:cstheme="minorEastAsia"/>
        </w:rPr>
      </w:pPr>
      <w:bookmarkStart w:id="69" w:name="_Toc43907150"/>
      <w:r>
        <w:rPr>
          <w:rFonts w:hint="eastAsia" w:cstheme="minorEastAsia"/>
        </w:rPr>
        <w:t>7.1中标候选人公示</w:t>
      </w:r>
      <w:bookmarkEnd w:id="69"/>
    </w:p>
    <w:p>
      <w:pPr>
        <w:snapToGrid w:val="0"/>
        <w:spacing w:line="360" w:lineRule="auto"/>
        <w:rPr>
          <w:rFonts w:asciiTheme="minorEastAsia" w:hAnsiTheme="minorEastAsia" w:cstheme="minorEastAsia"/>
        </w:rPr>
      </w:pPr>
      <w:r>
        <w:rPr>
          <w:rFonts w:hint="eastAsia" w:asciiTheme="minorEastAsia" w:hAnsiTheme="minorEastAsia" w:cstheme="minorEastAsia"/>
        </w:rPr>
        <w:t>招标人在收到评标报告之日起 3 日内，按照投标人须知前附表规定的公示媒介和期限公示中标候选人，公示期不得少于 3 天。</w:t>
      </w:r>
    </w:p>
    <w:p>
      <w:pPr>
        <w:pStyle w:val="7"/>
        <w:snapToGrid w:val="0"/>
        <w:spacing w:before="0" w:after="0" w:line="360" w:lineRule="auto"/>
        <w:rPr>
          <w:rFonts w:cstheme="minorEastAsia"/>
        </w:rPr>
      </w:pPr>
      <w:bookmarkStart w:id="70" w:name="_Toc43907151"/>
      <w:r>
        <w:rPr>
          <w:rFonts w:hint="eastAsia" w:cstheme="minorEastAsia"/>
        </w:rPr>
        <w:t>7.2评标结果异议</w:t>
      </w:r>
      <w:bookmarkEnd w:id="70"/>
    </w:p>
    <w:p>
      <w:pPr>
        <w:snapToGrid w:val="0"/>
        <w:spacing w:line="360" w:lineRule="auto"/>
        <w:rPr>
          <w:rFonts w:asciiTheme="minorEastAsia" w:hAnsiTheme="minorEastAsia" w:cstheme="minorEastAsia"/>
        </w:rPr>
      </w:pPr>
      <w:r>
        <w:rPr>
          <w:rFonts w:hint="eastAsia" w:asciiTheme="minorEastAsia" w:hAnsiTheme="minorEastAsia" w:cstheme="minorEastAsia"/>
        </w:rPr>
        <w:t>投标人或者其他利害关系人对评标结果有异议的，应当在中标候选人公示期间提出。招标人将在收到异议之日起 3 日内作出答复；作出答复前，将暂停招标投标活动。</w:t>
      </w:r>
    </w:p>
    <w:p>
      <w:pPr>
        <w:pStyle w:val="7"/>
        <w:snapToGrid w:val="0"/>
        <w:spacing w:before="0" w:after="0" w:line="360" w:lineRule="auto"/>
        <w:rPr>
          <w:rFonts w:cstheme="minorEastAsia"/>
        </w:rPr>
      </w:pPr>
      <w:bookmarkStart w:id="71" w:name="_Toc43907152"/>
      <w:r>
        <w:rPr>
          <w:rFonts w:hint="eastAsia" w:cstheme="minorEastAsia"/>
        </w:rPr>
        <w:t>7.3中标候选人履约能力审查</w:t>
      </w:r>
      <w:bookmarkEnd w:id="71"/>
    </w:p>
    <w:p>
      <w:pPr>
        <w:snapToGrid w:val="0"/>
        <w:spacing w:line="360" w:lineRule="auto"/>
        <w:rPr>
          <w:rFonts w:asciiTheme="minorEastAsia" w:hAnsiTheme="minorEastAsia" w:cstheme="minorEastAsia"/>
        </w:rPr>
      </w:pPr>
      <w:r>
        <w:rPr>
          <w:rFonts w:hint="eastAsia" w:asciiTheme="minorEastAsia" w:hAnsiTheme="minorEastAsia" w:cstheme="minorEastAsia"/>
        </w:rPr>
        <w:t>中标候选人的经营、财务状况发生较大变化或存在违法行为，招标人认为可能影响其履约能力的，将在发出中标通知书前提请原评标委员会按照招标文件规定的标准和方法进行审查确认。</w:t>
      </w:r>
    </w:p>
    <w:p>
      <w:pPr>
        <w:pStyle w:val="7"/>
        <w:snapToGrid w:val="0"/>
        <w:spacing w:before="0" w:after="0" w:line="360" w:lineRule="auto"/>
        <w:rPr>
          <w:rFonts w:cstheme="minorEastAsia"/>
        </w:rPr>
      </w:pPr>
      <w:bookmarkStart w:id="72" w:name="_Toc43907153"/>
      <w:r>
        <w:rPr>
          <w:rFonts w:hint="eastAsia" w:cstheme="minorEastAsia"/>
        </w:rPr>
        <w:t>7.4定标</w:t>
      </w:r>
      <w:bookmarkEnd w:id="72"/>
    </w:p>
    <w:p>
      <w:pPr>
        <w:snapToGrid w:val="0"/>
        <w:spacing w:line="360" w:lineRule="auto"/>
        <w:rPr>
          <w:rFonts w:asciiTheme="minorEastAsia" w:hAnsiTheme="minorEastAsia" w:cstheme="minorEastAsia"/>
        </w:rPr>
      </w:pPr>
      <w:r>
        <w:rPr>
          <w:rFonts w:hint="eastAsia" w:asciiTheme="minorEastAsia" w:hAnsiTheme="minorEastAsia" w:cstheme="minorEastAsia"/>
        </w:rPr>
        <w:t>按照投标人须知前附表的规定，招标人或招标人授权的评标委员会依法确定中标人。</w:t>
      </w:r>
    </w:p>
    <w:p>
      <w:pPr>
        <w:pStyle w:val="7"/>
        <w:snapToGrid w:val="0"/>
        <w:spacing w:before="0" w:after="0" w:line="360" w:lineRule="auto"/>
        <w:rPr>
          <w:rFonts w:cstheme="minorEastAsia"/>
        </w:rPr>
      </w:pPr>
      <w:bookmarkStart w:id="73" w:name="_Toc43907154"/>
      <w:r>
        <w:rPr>
          <w:rFonts w:hint="eastAsia" w:cstheme="minorEastAsia"/>
        </w:rPr>
        <w:t>7.5中标通知</w:t>
      </w:r>
      <w:bookmarkEnd w:id="73"/>
    </w:p>
    <w:p>
      <w:pPr>
        <w:snapToGrid w:val="0"/>
        <w:spacing w:line="360" w:lineRule="auto"/>
        <w:rPr>
          <w:rFonts w:asciiTheme="minorEastAsia" w:hAnsiTheme="minorEastAsia" w:cstheme="minorEastAsia"/>
        </w:rPr>
      </w:pPr>
      <w:r>
        <w:rPr>
          <w:rFonts w:hint="eastAsia" w:asciiTheme="minorEastAsia" w:hAnsiTheme="minorEastAsia" w:cstheme="minorEastAsia"/>
        </w:rPr>
        <w:t>在本章第3.3款规定的投标有效期内，招标人以书面形式向中标人发出中标通知书，同时将中标结果通知未中标的投标人。</w:t>
      </w:r>
    </w:p>
    <w:p>
      <w:pPr>
        <w:pStyle w:val="7"/>
        <w:snapToGrid w:val="0"/>
        <w:spacing w:before="0" w:after="0" w:line="360" w:lineRule="auto"/>
        <w:rPr>
          <w:rFonts w:cstheme="minorEastAsia"/>
        </w:rPr>
      </w:pPr>
      <w:bookmarkStart w:id="74" w:name="_Toc43907155"/>
      <w:r>
        <w:rPr>
          <w:rFonts w:hint="eastAsia" w:cstheme="minorEastAsia"/>
        </w:rPr>
        <w:t>7.</w:t>
      </w:r>
      <w:r>
        <w:rPr>
          <w:rFonts w:cstheme="minorEastAsia"/>
        </w:rPr>
        <w:t>6</w:t>
      </w:r>
      <w:r>
        <w:rPr>
          <w:rFonts w:hint="eastAsia" w:cstheme="minorEastAsia"/>
        </w:rPr>
        <w:t>签订合同</w:t>
      </w:r>
      <w:bookmarkEnd w:id="74"/>
    </w:p>
    <w:p>
      <w:pPr>
        <w:snapToGrid w:val="0"/>
        <w:spacing w:line="360" w:lineRule="auto"/>
        <w:rPr>
          <w:rFonts w:asciiTheme="minorEastAsia" w:hAnsiTheme="minorEastAsia" w:cstheme="minorEastAsia"/>
        </w:rPr>
      </w:pPr>
      <w:r>
        <w:rPr>
          <w:rFonts w:hint="eastAsia" w:asciiTheme="minorEastAsia" w:hAnsiTheme="minorEastAsia" w:cstheme="minorEastAsia"/>
        </w:rPr>
        <w:t>7.</w:t>
      </w:r>
      <w:r>
        <w:rPr>
          <w:rFonts w:asciiTheme="minorEastAsia" w:hAnsiTheme="minorEastAsia" w:cstheme="minorEastAsia"/>
        </w:rPr>
        <w:t>6</w:t>
      </w:r>
      <w:r>
        <w:rPr>
          <w:rFonts w:hint="eastAsia" w:asciiTheme="minorEastAsia" w:hAnsiTheme="minorEastAsia" w:cstheme="minorEastAsia"/>
        </w:rPr>
        <w:t>.1招标人和中标人应当在中标通知书发出之日起 30 日内，根据招标文件和中标人的投标文件订立书面合同。中标人无正当理由拒签合同，在签订合同时向招标人提出附加条件，招标人有权取消其中标资格；给招标人造成的损失的，中标人</w:t>
      </w:r>
      <w:r>
        <w:rPr>
          <w:rFonts w:asciiTheme="minorEastAsia" w:hAnsiTheme="minorEastAsia" w:cstheme="minorEastAsia"/>
        </w:rPr>
        <w:t>应</w:t>
      </w:r>
      <w:r>
        <w:rPr>
          <w:rFonts w:hint="eastAsia" w:asciiTheme="minorEastAsia" w:hAnsiTheme="minorEastAsia" w:cstheme="minorEastAsia"/>
        </w:rPr>
        <w:t>予以赔偿。</w:t>
      </w:r>
    </w:p>
    <w:p>
      <w:pPr>
        <w:snapToGrid w:val="0"/>
        <w:spacing w:line="360" w:lineRule="auto"/>
        <w:rPr>
          <w:rFonts w:asciiTheme="minorEastAsia" w:hAnsiTheme="minorEastAsia" w:cstheme="minorEastAsia"/>
        </w:rPr>
      </w:pPr>
      <w:r>
        <w:rPr>
          <w:rFonts w:hint="eastAsia" w:asciiTheme="minorEastAsia" w:hAnsiTheme="minorEastAsia" w:cstheme="minorEastAsia"/>
        </w:rPr>
        <w:t>7.</w:t>
      </w:r>
      <w:r>
        <w:rPr>
          <w:rFonts w:asciiTheme="minorEastAsia" w:hAnsiTheme="minorEastAsia" w:cstheme="minorEastAsia"/>
        </w:rPr>
        <w:t>6</w:t>
      </w:r>
      <w:r>
        <w:rPr>
          <w:rFonts w:hint="eastAsia" w:asciiTheme="minorEastAsia" w:hAnsiTheme="minorEastAsia" w:cstheme="minorEastAsia"/>
        </w:rPr>
        <w:t>.2发出中标通知书后，招标人无正当理由拒签合同，或者在签订合同时向中标人提出附加条件的，</w:t>
      </w:r>
      <w:r>
        <w:rPr>
          <w:rFonts w:asciiTheme="minorEastAsia" w:hAnsiTheme="minorEastAsia" w:cstheme="minorEastAsia"/>
        </w:rPr>
        <w:t>中</w:t>
      </w:r>
      <w:r>
        <w:rPr>
          <w:rFonts w:hint="eastAsia" w:asciiTheme="minorEastAsia" w:hAnsiTheme="minorEastAsia" w:cstheme="minorEastAsia"/>
        </w:rPr>
        <w:t>标人</w:t>
      </w:r>
      <w:r>
        <w:rPr>
          <w:rFonts w:asciiTheme="minorEastAsia" w:hAnsiTheme="minorEastAsia" w:cstheme="minorEastAsia"/>
        </w:rPr>
        <w:t>有权取消签订合同，</w:t>
      </w:r>
      <w:r>
        <w:rPr>
          <w:rFonts w:hint="eastAsia" w:asciiTheme="minorEastAsia" w:hAnsiTheme="minorEastAsia" w:cstheme="minorEastAsia"/>
        </w:rPr>
        <w:t>给中标人造成损失的，</w:t>
      </w:r>
      <w:r>
        <w:rPr>
          <w:rFonts w:asciiTheme="minorEastAsia" w:hAnsiTheme="minorEastAsia" w:cstheme="minorEastAsia"/>
        </w:rPr>
        <w:t>招标</w:t>
      </w:r>
      <w:r>
        <w:rPr>
          <w:rFonts w:hint="eastAsia" w:asciiTheme="minorEastAsia" w:hAnsiTheme="minorEastAsia" w:cstheme="minorEastAsia"/>
        </w:rPr>
        <w:t>人还应当赔偿损失。</w:t>
      </w:r>
    </w:p>
    <w:p>
      <w:pPr>
        <w:snapToGrid w:val="0"/>
        <w:spacing w:line="360" w:lineRule="auto"/>
        <w:rPr>
          <w:rFonts w:asciiTheme="minorEastAsia" w:hAnsiTheme="minorEastAsia" w:cstheme="minorEastAsia"/>
        </w:rPr>
      </w:pPr>
      <w:r>
        <w:rPr>
          <w:rFonts w:hint="eastAsia" w:asciiTheme="minorEastAsia" w:hAnsiTheme="minorEastAsia" w:cstheme="minorEastAsia"/>
        </w:rPr>
        <w:t>7.7.3联合体中标的，联合体各方应当共同与招标人签订合同，就中标项目向招标人承担连带责任。</w:t>
      </w:r>
    </w:p>
    <w:p>
      <w:pPr>
        <w:pStyle w:val="6"/>
        <w:snapToGrid w:val="0"/>
        <w:spacing w:before="0" w:after="0" w:line="360" w:lineRule="auto"/>
        <w:rPr>
          <w:rFonts w:cstheme="minorEastAsia"/>
        </w:rPr>
      </w:pPr>
      <w:bookmarkStart w:id="75" w:name="_Toc43907156"/>
      <w:r>
        <w:rPr>
          <w:rFonts w:hint="eastAsia" w:cstheme="minorEastAsia"/>
        </w:rPr>
        <w:t>8.纪律和监督</w:t>
      </w:r>
      <w:bookmarkEnd w:id="75"/>
    </w:p>
    <w:p>
      <w:pPr>
        <w:pStyle w:val="7"/>
        <w:snapToGrid w:val="0"/>
        <w:spacing w:before="0" w:after="0" w:line="360" w:lineRule="auto"/>
        <w:rPr>
          <w:rFonts w:cstheme="minorEastAsia"/>
        </w:rPr>
      </w:pPr>
      <w:bookmarkStart w:id="76" w:name="_Toc43907157"/>
      <w:r>
        <w:rPr>
          <w:rFonts w:hint="eastAsia" w:cstheme="minorEastAsia"/>
        </w:rPr>
        <w:t>8.1对招标人的纪律要求</w:t>
      </w:r>
      <w:bookmarkEnd w:id="76"/>
    </w:p>
    <w:p>
      <w:pPr>
        <w:snapToGrid w:val="0"/>
        <w:spacing w:line="360" w:lineRule="auto"/>
        <w:rPr>
          <w:rFonts w:asciiTheme="minorEastAsia" w:hAnsiTheme="minorEastAsia" w:cstheme="minorEastAsia"/>
        </w:rPr>
      </w:pPr>
      <w:r>
        <w:rPr>
          <w:rFonts w:hint="eastAsia" w:asciiTheme="minorEastAsia" w:hAnsiTheme="minorEastAsia" w:cstheme="minorEastAsia"/>
        </w:rPr>
        <w:t>招标人不得泄露招标投标活动中应当保密的情况和资料，不得与投标人串通损害国家利益、社会公共利益或者他人合法权益。</w:t>
      </w:r>
    </w:p>
    <w:p>
      <w:pPr>
        <w:pStyle w:val="7"/>
        <w:snapToGrid w:val="0"/>
        <w:spacing w:before="0" w:after="0" w:line="360" w:lineRule="auto"/>
        <w:rPr>
          <w:rFonts w:cstheme="minorEastAsia"/>
        </w:rPr>
      </w:pPr>
      <w:bookmarkStart w:id="77" w:name="_Toc43907158"/>
      <w:r>
        <w:rPr>
          <w:rFonts w:hint="eastAsia" w:cstheme="minorEastAsia"/>
        </w:rPr>
        <w:t>8.2对投标人的纪律要求</w:t>
      </w:r>
      <w:bookmarkEnd w:id="77"/>
    </w:p>
    <w:p>
      <w:pPr>
        <w:snapToGrid w:val="0"/>
        <w:spacing w:line="360" w:lineRule="auto"/>
        <w:rPr>
          <w:rFonts w:asciiTheme="minorEastAsia" w:hAnsiTheme="minorEastAsia" w:cstheme="minorEastAsia"/>
        </w:rPr>
      </w:pPr>
      <w:r>
        <w:rPr>
          <w:rFonts w:hint="eastAsia" w:asciiTheme="minorEastAsia" w:hAnsiTheme="minorEastAsia" w:cstheme="minorEastAsia"/>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7"/>
        <w:snapToGrid w:val="0"/>
        <w:spacing w:before="0" w:after="0" w:line="360" w:lineRule="auto"/>
        <w:rPr>
          <w:rFonts w:cstheme="minorEastAsia"/>
        </w:rPr>
      </w:pPr>
      <w:bookmarkStart w:id="78" w:name="_Toc43907159"/>
      <w:r>
        <w:rPr>
          <w:rFonts w:hint="eastAsia" w:cstheme="minorEastAsia"/>
        </w:rPr>
        <w:t>8.3对评标委员会成员的纪律要求</w:t>
      </w:r>
      <w:bookmarkEnd w:id="78"/>
    </w:p>
    <w:p>
      <w:pPr>
        <w:snapToGrid w:val="0"/>
        <w:spacing w:line="360" w:lineRule="auto"/>
        <w:rPr>
          <w:rFonts w:asciiTheme="minorEastAsia" w:hAnsiTheme="minorEastAsia" w:cstheme="minorEastAsia"/>
        </w:rPr>
      </w:pPr>
      <w:r>
        <w:rPr>
          <w:rFonts w:hint="eastAsia" w:asciiTheme="minorEastAsia" w:hAnsiTheme="minorEastAsia" w:cstheme="minorEastAsia"/>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7"/>
        <w:snapToGrid w:val="0"/>
        <w:spacing w:before="0" w:after="0" w:line="360" w:lineRule="auto"/>
        <w:rPr>
          <w:rFonts w:cstheme="minorEastAsia"/>
        </w:rPr>
      </w:pPr>
      <w:bookmarkStart w:id="79" w:name="_Toc43907160"/>
      <w:r>
        <w:rPr>
          <w:rFonts w:hint="eastAsia" w:cstheme="minorEastAsia"/>
        </w:rPr>
        <w:t>8.4对与评标活动有关的工作人员的纪律要求</w:t>
      </w:r>
      <w:bookmarkEnd w:id="79"/>
    </w:p>
    <w:p>
      <w:pPr>
        <w:snapToGrid w:val="0"/>
        <w:spacing w:line="360" w:lineRule="auto"/>
        <w:rPr>
          <w:rFonts w:asciiTheme="minorEastAsia" w:hAnsiTheme="minorEastAsia" w:cstheme="minorEastAsia"/>
        </w:rPr>
      </w:pPr>
      <w:r>
        <w:rPr>
          <w:rFonts w:hint="eastAsia" w:asciiTheme="minorEastAsia" w:hAnsiTheme="minorEastAsia" w:cstheme="minorEastAsia"/>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7"/>
        <w:snapToGrid w:val="0"/>
        <w:spacing w:before="0" w:after="0" w:line="360" w:lineRule="auto"/>
        <w:rPr>
          <w:rFonts w:cstheme="minorEastAsia"/>
        </w:rPr>
      </w:pPr>
      <w:bookmarkStart w:id="80" w:name="_Toc43907161"/>
      <w:r>
        <w:rPr>
          <w:rFonts w:hint="eastAsia" w:cstheme="minorEastAsia"/>
        </w:rPr>
        <w:t>8.5投诉</w:t>
      </w:r>
      <w:bookmarkEnd w:id="80"/>
    </w:p>
    <w:p>
      <w:pPr>
        <w:snapToGrid w:val="0"/>
        <w:spacing w:line="360" w:lineRule="auto"/>
        <w:rPr>
          <w:rFonts w:asciiTheme="minorEastAsia" w:hAnsiTheme="minorEastAsia" w:cstheme="minorEastAsia"/>
        </w:rPr>
      </w:pPr>
      <w:r>
        <w:rPr>
          <w:rFonts w:hint="eastAsia" w:asciiTheme="minorEastAsia" w:hAnsiTheme="minorEastAsia" w:cstheme="minorEastAsia"/>
        </w:rPr>
        <w:t>8.5.1投标人或者其他利害关系人认为招标投标活动不符合法律、行政法规规定的，可以自知道或者应当知道之日起10日内向有关行政监督部门投诉。投诉应当有明确的请求和必要的证明材料。</w:t>
      </w:r>
    </w:p>
    <w:p>
      <w:pPr>
        <w:snapToGrid w:val="0"/>
        <w:spacing w:line="360" w:lineRule="auto"/>
        <w:rPr>
          <w:rFonts w:asciiTheme="minorEastAsia" w:hAnsiTheme="minorEastAsia" w:cstheme="minorEastAsia"/>
        </w:rPr>
      </w:pPr>
      <w:r>
        <w:rPr>
          <w:rFonts w:hint="eastAsia" w:asciiTheme="minorEastAsia" w:hAnsiTheme="minorEastAsia" w:cstheme="minorEastAsia"/>
        </w:rPr>
        <w:t>8.5.2投标人或者其他利害关系人对招标文件、开标和评标结果提出投诉的，应当按照投标人须知第2.4款、第5.3款和第7.2款的规定先向招标人提出异议。异议答复期间不计算在第8.5.1项规定的期限内。</w:t>
      </w:r>
    </w:p>
    <w:p>
      <w:pPr>
        <w:pStyle w:val="6"/>
        <w:snapToGrid w:val="0"/>
        <w:spacing w:before="0" w:after="0" w:line="360" w:lineRule="auto"/>
        <w:rPr>
          <w:rFonts w:cstheme="minorEastAsia"/>
        </w:rPr>
      </w:pPr>
      <w:bookmarkStart w:id="81" w:name="_Toc43907162"/>
      <w:r>
        <w:rPr>
          <w:rFonts w:hint="eastAsia" w:cstheme="minorEastAsia"/>
        </w:rPr>
        <w:t>9.是否采用电子招标投标</w:t>
      </w:r>
      <w:bookmarkEnd w:id="81"/>
    </w:p>
    <w:p>
      <w:pPr>
        <w:snapToGrid w:val="0"/>
        <w:spacing w:line="360" w:lineRule="auto"/>
        <w:rPr>
          <w:rFonts w:asciiTheme="minorEastAsia" w:hAnsiTheme="minorEastAsia" w:cstheme="minorEastAsia"/>
        </w:rPr>
      </w:pPr>
      <w:r>
        <w:rPr>
          <w:rFonts w:hint="eastAsia" w:asciiTheme="minorEastAsia" w:hAnsiTheme="minorEastAsia" w:cstheme="minorEastAsia"/>
        </w:rPr>
        <w:t>本招标项目是否采用电子招标投标方式，见投标人须知前附表。</w:t>
      </w:r>
    </w:p>
    <w:p>
      <w:pPr>
        <w:pStyle w:val="6"/>
        <w:snapToGrid w:val="0"/>
        <w:spacing w:before="0" w:after="0" w:line="360" w:lineRule="auto"/>
        <w:rPr>
          <w:rFonts w:cstheme="minorEastAsia"/>
        </w:rPr>
      </w:pPr>
      <w:bookmarkStart w:id="82" w:name="_Toc43907163"/>
      <w:r>
        <w:rPr>
          <w:rFonts w:hint="eastAsia" w:cstheme="minorEastAsia"/>
        </w:rPr>
        <w:t>10.需要补充的其他内容</w:t>
      </w:r>
      <w:bookmarkEnd w:id="82"/>
    </w:p>
    <w:p>
      <w:pPr>
        <w:snapToGrid w:val="0"/>
        <w:spacing w:line="360" w:lineRule="auto"/>
        <w:rPr>
          <w:rFonts w:asciiTheme="minorEastAsia" w:hAnsiTheme="minorEastAsia" w:cstheme="minorEastAsia"/>
        </w:rPr>
      </w:pPr>
      <w:r>
        <w:rPr>
          <w:rFonts w:hint="eastAsia" w:asciiTheme="minorEastAsia" w:hAnsiTheme="minorEastAsia" w:cstheme="minorEastAsia"/>
        </w:rPr>
        <w:t>需要补充的其他内容：见投标人须知前附表。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4"/>
        <w:snapToGrid w:val="0"/>
        <w:spacing w:before="0" w:after="0" w:line="360" w:lineRule="auto"/>
        <w:rPr>
          <w:rFonts w:asciiTheme="minorEastAsia" w:hAnsiTheme="minorEastAsia" w:eastAsiaTheme="minorEastAsia" w:cstheme="minorEastAsia"/>
        </w:rPr>
      </w:pPr>
      <w:bookmarkStart w:id="83" w:name="_Toc43907164"/>
      <w:r>
        <w:rPr>
          <w:rFonts w:hint="eastAsia" w:asciiTheme="minorEastAsia" w:hAnsiTheme="minorEastAsia" w:eastAsiaTheme="minorEastAsia" w:cstheme="minorEastAsia"/>
        </w:rPr>
        <w:t>第三章 评标办法（综合评估法）</w:t>
      </w:r>
      <w:bookmarkEnd w:id="83"/>
    </w:p>
    <w:p>
      <w:pPr>
        <w:pStyle w:val="5"/>
        <w:snapToGrid w:val="0"/>
        <w:spacing w:before="0" w:after="0" w:line="360" w:lineRule="auto"/>
        <w:rPr>
          <w:rFonts w:asciiTheme="minorEastAsia" w:hAnsiTheme="minorEastAsia" w:eastAsiaTheme="minorEastAsia" w:cstheme="minorEastAsia"/>
        </w:rPr>
      </w:pPr>
      <w:bookmarkStart w:id="84" w:name="_Toc43907165"/>
      <w:r>
        <w:rPr>
          <w:rFonts w:hint="eastAsia" w:asciiTheme="minorEastAsia" w:hAnsiTheme="minorEastAsia" w:eastAsiaTheme="minorEastAsia" w:cstheme="minorEastAsia"/>
        </w:rPr>
        <w:t>评标办法前附表</w:t>
      </w:r>
      <w:bookmarkEnd w:id="84"/>
    </w:p>
    <w:tbl>
      <w:tblPr>
        <w:tblStyle w:val="2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693"/>
        <w:gridCol w:w="1105"/>
        <w:gridCol w:w="5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条款内容</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p>
        </w:tc>
        <w:tc>
          <w:tcPr>
            <w:tcW w:w="69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评标方法</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中标候选人排序方法</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确定中标候选人顺序的方法为：招标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评审因素</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2.1.1</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形式评审标准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投标人名称</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投标函签字盖章</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法定代表人（单位负责人）或其委托代理人签字或加盖单位章。由法定代表人（单位负责人）签字的，应附法定代表人（单位负责人）身份证明；由代理人签字的，应附授权委托书，身份证明或授权委托书应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投标文件格式</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2.1.2</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资格评审标准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资质要求</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财务要求</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不存在禁止投标的情形</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不存在第二章“投标人须知”第1.4.3项规定的任何一种情形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2.1.3</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响应性评审标准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投标报价</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符合第二章“投标人须知”第3.2款规定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投标内容</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交货期</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交货地点</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技术性能指标</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投标有效期</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权利义务</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符合第二章“投标人须知”第1.11.1项规定和第四章“合同条款及格式”中的实质性要求和条件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技术服务和质保期服务</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符合第五章“项目需求”中的实质性要求和条件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技术支持资料</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符合第二章“投标人须知”第1.11.3项规定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tcPr>
          <w:p>
            <w:pPr>
              <w:snapToGrid w:val="0"/>
              <w:ind w:firstLine="0" w:firstLineChars="0"/>
              <w:jc w:val="center"/>
              <w:rPr>
                <w:rFonts w:asciiTheme="minorEastAsia" w:hAnsiTheme="minorEastAsia" w:cstheme="minorEastAsia"/>
                <w:szCs w:val="21"/>
              </w:rPr>
            </w:pPr>
            <w:r>
              <w:rPr>
                <w:rFonts w:hint="eastAsia" w:asciiTheme="minorEastAsia" w:hAnsiTheme="minorEastAsia" w:cstheme="minorEastAsia"/>
                <w:szCs w:val="21"/>
                <w:lang w:eastAsia="en-US"/>
              </w:rPr>
              <w:t>主要技术参数</w:t>
            </w:r>
          </w:p>
        </w:tc>
        <w:tc>
          <w:tcPr>
            <w:tcW w:w="5987" w:type="dxa"/>
          </w:tcPr>
          <w:p>
            <w:pPr>
              <w:snapToGrid w:val="0"/>
              <w:ind w:firstLine="0" w:firstLineChars="0"/>
              <w:jc w:val="left"/>
              <w:rPr>
                <w:rFonts w:asciiTheme="minorEastAsia" w:hAnsiTheme="minorEastAsia" w:cstheme="minorEastAsia"/>
                <w:szCs w:val="21"/>
              </w:rPr>
            </w:pPr>
            <w:r>
              <w:rPr>
                <w:rFonts w:hint="eastAsia" w:asciiTheme="minorEastAsia" w:hAnsiTheme="minorEastAsia" w:cstheme="minorEastAsia"/>
                <w:szCs w:val="21"/>
              </w:rPr>
              <w:t>符合第五章“项目需求”中的实质性条款的要求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条款内容</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2.2.1</w:t>
            </w:r>
          </w:p>
        </w:tc>
        <w:tc>
          <w:tcPr>
            <w:tcW w:w="1105"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分值构成</w:t>
            </w:r>
          </w:p>
          <w:p>
            <w:pPr>
              <w:snapToGrid w:val="0"/>
              <w:ind w:firstLine="0" w:firstLineChars="0"/>
              <w:rPr>
                <w:rFonts w:asciiTheme="minorEastAsia" w:hAnsiTheme="minorEastAsia" w:cstheme="minorEastAsia"/>
              </w:rPr>
            </w:pPr>
            <w:r>
              <w:rPr>
                <w:rFonts w:hint="eastAsia" w:asciiTheme="minorEastAsia" w:hAnsiTheme="minorEastAsia" w:cstheme="minorEastAsia"/>
              </w:rPr>
              <w:t>（总分 100 分）</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投标报价：30分</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商务部分：20分</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技术部分：50分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2.2.2</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评标基准价计算方法</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评标价为按照第三章第3.1.3项修正、澄清后的投标报价。</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以满足采购文件要求且投价最低的投标报价为评标的基准价。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2.2.3</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投标报价的计算公式</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其他投标人的价格分统一按照下列公式计算：投标报价得分=(评标基准价/投标报价)×30。(计算结果四舍五入保留两位小数)。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评审因素（偏差率）</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2.2.4（1）</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商务评分标准（20分）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投标人公司信誉、资质等证明（15分）</w:t>
            </w:r>
          </w:p>
        </w:tc>
        <w:tc>
          <w:tcPr>
            <w:tcW w:w="5987" w:type="dxa"/>
            <w:vAlign w:val="center"/>
          </w:tcPr>
          <w:p>
            <w:pPr>
              <w:snapToGrid w:val="0"/>
              <w:ind w:firstLine="0" w:firstLineChars="0"/>
              <w:rPr>
                <w:rFonts w:asciiTheme="minorEastAsia" w:hAnsiTheme="minorEastAsia" w:cstheme="minorEastAsia"/>
                <w:color w:val="000000"/>
                <w:szCs w:val="21"/>
              </w:rPr>
            </w:pPr>
            <w:r>
              <w:rPr>
                <w:rFonts w:hint="eastAsia" w:asciiTheme="minorEastAsia" w:hAnsiTheme="minorEastAsia" w:cstheme="minorEastAsia"/>
                <w:kern w:val="0"/>
              </w:rPr>
              <w:t>投标人具有有效期内的</w:t>
            </w:r>
            <w:r>
              <w:rPr>
                <w:rFonts w:hint="eastAsia" w:asciiTheme="minorEastAsia" w:hAnsiTheme="minorEastAsia" w:cstheme="minorEastAsia"/>
                <w:kern w:val="0"/>
                <w:szCs w:val="21"/>
              </w:rPr>
              <w:t>ISO9001质量管理体系认证证书、信息系统集成与服务资质证书、CMMI资质证书、高新技术企业证书、两化融合管理体系评定证书</w:t>
            </w:r>
            <w:r>
              <w:rPr>
                <w:rFonts w:hint="eastAsia" w:asciiTheme="minorEastAsia" w:hAnsiTheme="minorEastAsia" w:cstheme="minorEastAsia"/>
                <w:szCs w:val="21"/>
              </w:rPr>
              <w:t>，全部满足</w:t>
            </w:r>
            <w:r>
              <w:rPr>
                <w:rFonts w:hint="eastAsia" w:asciiTheme="minorEastAsia" w:hAnsiTheme="minorEastAsia" w:cstheme="minorEastAsia"/>
                <w:color w:val="000000"/>
                <w:szCs w:val="21"/>
              </w:rPr>
              <w:t>得15分，部分满足得10分，全部不满足不得分</w:t>
            </w:r>
            <w:r>
              <w:rPr>
                <w:rFonts w:hint="eastAsia" w:asciiTheme="minorEastAsia" w:hAnsiTheme="minorEastAsia" w:cstheme="minorEastAsia"/>
                <w:szCs w:val="21"/>
              </w:rPr>
              <w:t>。（证书复印件加盖投标人公</w:t>
            </w:r>
            <w:r>
              <w:rPr>
                <w:rFonts w:hint="eastAsia" w:asciiTheme="minorEastAsia" w:hAnsiTheme="minorEastAsia" w:cstheme="minorEastAsia"/>
                <w:color w:val="000000"/>
                <w:szCs w:val="21"/>
              </w:rPr>
              <w:t>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业绩（5分）</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color w:val="000000"/>
                <w:szCs w:val="21"/>
              </w:rPr>
              <w:t>投标人提供2017年（</w:t>
            </w:r>
            <w:r>
              <w:rPr>
                <w:rFonts w:hint="eastAsia" w:asciiTheme="minorEastAsia" w:hAnsiTheme="minorEastAsia" w:cstheme="minorEastAsia"/>
                <w:szCs w:val="21"/>
              </w:rPr>
              <w:t>以合同签订时间为准</w:t>
            </w:r>
            <w:r>
              <w:rPr>
                <w:rFonts w:hint="eastAsia" w:asciiTheme="minorEastAsia" w:hAnsiTheme="minorEastAsia" w:cstheme="minorEastAsia"/>
                <w:color w:val="000000"/>
                <w:szCs w:val="21"/>
              </w:rPr>
              <w:t>）以来不少于5个系统集成或运维服务业绩。每提供一个得1分，最高得5分。</w:t>
            </w:r>
            <w:r>
              <w:rPr>
                <w:rFonts w:hint="eastAsia" w:asciiTheme="minorEastAsia" w:hAnsiTheme="minorEastAsia" w:cstheme="minorEastAsia"/>
                <w:szCs w:val="21"/>
              </w:rPr>
              <w:t>[提供</w:t>
            </w:r>
            <w:r>
              <w:rPr>
                <w:rFonts w:hint="eastAsia" w:asciiTheme="minorEastAsia" w:hAnsiTheme="minorEastAsia" w:cstheme="minorEastAsia"/>
              </w:rPr>
              <w:t>中标通知书和（或）合同协议书、设备进场验收证书等的复印件</w:t>
            </w:r>
            <w:r>
              <w:rPr>
                <w:rFonts w:hint="eastAsia" w:asciiTheme="minorEastAsia" w:hAnsiTheme="minorEastAsia" w:cstheme="minorEastAsia"/>
                <w:szCs w:val="21"/>
              </w:rPr>
              <w:t>加盖投标人公章装订于投标文件中]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2.2.4（2）</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技术评分标准（50分）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技术方案（20分）</w:t>
            </w:r>
          </w:p>
        </w:tc>
        <w:tc>
          <w:tcPr>
            <w:tcW w:w="5987" w:type="dxa"/>
            <w:vAlign w:val="center"/>
          </w:tcPr>
          <w:p>
            <w:pPr>
              <w:numPr>
                <w:ilvl w:val="0"/>
                <w:numId w:val="3"/>
              </w:numPr>
              <w:snapToGrid w:val="0"/>
              <w:ind w:firstLine="0" w:firstLineChars="0"/>
              <w:jc w:val="left"/>
              <w:rPr>
                <w:rFonts w:asciiTheme="minorEastAsia" w:hAnsiTheme="minorEastAsia" w:cstheme="minorEastAsia"/>
              </w:rPr>
            </w:pPr>
            <w:r>
              <w:rPr>
                <w:rFonts w:hint="eastAsia" w:asciiTheme="minorEastAsia" w:hAnsiTheme="minorEastAsia" w:cstheme="minorEastAsia"/>
              </w:rPr>
              <w:t xml:space="preserve">方案中体现对采购人现有扬州市民卡云计算平台现状、拓扑高度熟悉，且有针对性的提出现有平台升级方案，设计详尽、完全符合采购人实际情况，技术实现可靠、先进，可操作性强的得15-20分； </w:t>
            </w:r>
          </w:p>
          <w:p>
            <w:pPr>
              <w:numPr>
                <w:ilvl w:val="0"/>
                <w:numId w:val="3"/>
              </w:numPr>
              <w:snapToGrid w:val="0"/>
              <w:ind w:firstLine="0" w:firstLineChars="0"/>
              <w:jc w:val="left"/>
              <w:rPr>
                <w:rFonts w:asciiTheme="minorEastAsia" w:hAnsiTheme="minorEastAsia" w:cstheme="minorEastAsia"/>
              </w:rPr>
            </w:pPr>
            <w:r>
              <w:rPr>
                <w:rFonts w:hint="eastAsia" w:asciiTheme="minorEastAsia" w:hAnsiTheme="minorEastAsia" w:cstheme="minorEastAsia"/>
              </w:rPr>
              <w:t xml:space="preserve">方案中对采购人现有扬州市民卡云计算平台现状、拓扑了解的，现有平台升级方案完整性、合理性、技术先进性较为详尽得10-14分； </w:t>
            </w:r>
          </w:p>
          <w:p>
            <w:pPr>
              <w:numPr>
                <w:ilvl w:val="0"/>
                <w:numId w:val="3"/>
              </w:numPr>
              <w:snapToGrid w:val="0"/>
              <w:ind w:firstLine="0" w:firstLineChars="0"/>
              <w:jc w:val="left"/>
              <w:rPr>
                <w:rFonts w:asciiTheme="minorEastAsia" w:hAnsiTheme="minorEastAsia" w:cstheme="minorEastAsia"/>
              </w:rPr>
            </w:pPr>
            <w:r>
              <w:rPr>
                <w:rFonts w:hint="eastAsia" w:asciiTheme="minorEastAsia" w:hAnsiTheme="minorEastAsia" w:cstheme="minorEastAsia"/>
              </w:rPr>
              <w:t>方案中对采购人现有扬州市民卡云计算平台现状、拓扑不了解的，现有平台升级改造方案完整性、合理性、技术先进性不符合客户实际情况的，得0分。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产品功能、性能、配置要求（20分）</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打★号指标为必须满足项，如有负偏离将作为无效报价；</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 xml:space="preserve">全部满足得20分； </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打▲号指标，有一项负偏离扣2分，扣完为止。</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参数要求中打▲号指标,其中明确了需要提供证明文件的，如不提供不得分。</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其他指标，有一项负偏离扣1分，扣完为止。其中需要提供证明文件的,不提供不得分。</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采购人在选定中标供应商后，有权利根据中标供应商对产品参数的响应进行功能性测试，如发现对招标需求中技术参数中的技术要求的响应与事实不符或与提供的响应支持文件不符的、虚假投标的，将取消其中标资格，并报财政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color w:val="000000"/>
                <w:szCs w:val="21"/>
              </w:rPr>
              <w:t>售后服务与培训方案（10分）</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szCs w:val="21"/>
              </w:rPr>
              <w:t>投标单位提供详细的售后服务方案、培训方案（如服务体系、服务内容、故障解决方案、响应次数、响应时间、培训方案、专业技术人员保障等）, 由评委根据投标人提供方案的合理程度打分</w:t>
            </w:r>
            <w:r>
              <w:rPr>
                <w:rFonts w:hint="eastAsia" w:asciiTheme="minorEastAsia" w:hAnsiTheme="minorEastAsia" w:cstheme="minorEastAsia"/>
                <w:szCs w:val="21"/>
                <w:lang w:val="zh-TW"/>
              </w:rPr>
              <w:t>。</w:t>
            </w:r>
            <w:r>
              <w:rPr>
                <w:rFonts w:hint="eastAsia" w:asciiTheme="minorEastAsia" w:hAnsiTheme="minorEastAsia" w:cstheme="minorEastAsia"/>
              </w:rPr>
              <w:t>优得9-</w:t>
            </w:r>
            <w:r>
              <w:rPr>
                <w:rFonts w:hint="eastAsia" w:asciiTheme="minorEastAsia" w:hAnsiTheme="minorEastAsia" w:cstheme="minorEastAsia"/>
                <w:kern w:val="0"/>
              </w:rPr>
              <w:t>10分，良好得6-8分，一般得5-3分，没有不得分</w:t>
            </w:r>
            <w:r>
              <w:rPr>
                <w:rFonts w:hint="eastAsia" w:asciiTheme="minorEastAsia" w:hAnsiTheme="minorEastAsia" w:cstheme="minorEastAsia"/>
                <w:szCs w:val="21"/>
                <w:lang w:val="zh-TW"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条款内容</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3.1.2（2）</w:t>
            </w:r>
          </w:p>
        </w:tc>
        <w:tc>
          <w:tcPr>
            <w:tcW w:w="1105"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串通投标</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有下列情形之一的，属于投标人相互串通投标：</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投标人之间协商投标报价等投标文件的实质性内容；</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投标人之间约定中标人；</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投标人之间约定部分投标人放弃投标或者中标；</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属于同一集团、协会、商会等组织成员的投标人按照该组织要求协同投标；</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投标人之间为谋取中标或者排斥特定投标人而采取的其他联合行动。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continue"/>
            <w:vAlign w:val="center"/>
          </w:tcPr>
          <w:p>
            <w:pPr>
              <w:snapToGrid w:val="0"/>
              <w:ind w:firstLine="0" w:firstLineChars="0"/>
              <w:jc w:val="center"/>
              <w:rPr>
                <w:rFonts w:asciiTheme="minorEastAsia" w:hAnsiTheme="minorEastAsia" w:cstheme="minorEastAsia"/>
              </w:rPr>
            </w:pPr>
          </w:p>
        </w:tc>
        <w:tc>
          <w:tcPr>
            <w:tcW w:w="1105" w:type="dxa"/>
            <w:vMerge w:val="continue"/>
            <w:vAlign w:val="center"/>
          </w:tcPr>
          <w:p>
            <w:pPr>
              <w:snapToGrid w:val="0"/>
              <w:ind w:firstLine="0" w:firstLineChars="0"/>
              <w:jc w:val="center"/>
              <w:rPr>
                <w:rFonts w:asciiTheme="minorEastAsia" w:hAnsiTheme="minorEastAsia" w:cstheme="minorEastAsia"/>
              </w:rPr>
            </w:pP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有下列情形之一的，视为投标人相互串通投标：</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不同投标人的投标文件由同一单位或者个人编制；</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不同投标人委托同一单位或者个人办理投标事宜；</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不同投标人的投标文件载明的项目管理成员为同一人；</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不同投标人的投标文件异常一致或者投标报价呈规律性差异；</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不同投标人的投标文件相互混装；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continue"/>
            <w:vAlign w:val="center"/>
          </w:tcPr>
          <w:p>
            <w:pPr>
              <w:snapToGrid w:val="0"/>
              <w:ind w:firstLine="0" w:firstLineChars="0"/>
              <w:jc w:val="center"/>
              <w:rPr>
                <w:rFonts w:asciiTheme="minorEastAsia" w:hAnsiTheme="minorEastAsia" w:cstheme="minorEastAsia"/>
              </w:rPr>
            </w:pPr>
          </w:p>
        </w:tc>
        <w:tc>
          <w:tcPr>
            <w:tcW w:w="1105" w:type="dxa"/>
            <w:vMerge w:val="continue"/>
            <w:vAlign w:val="center"/>
          </w:tcPr>
          <w:p>
            <w:pPr>
              <w:snapToGrid w:val="0"/>
              <w:ind w:firstLine="0" w:firstLineChars="0"/>
              <w:jc w:val="center"/>
              <w:rPr>
                <w:rFonts w:asciiTheme="minorEastAsia" w:hAnsiTheme="minorEastAsia" w:cstheme="minorEastAsia"/>
              </w:rPr>
            </w:pP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有下列情形之一的，属于招标人与投标人串通投标：</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招标人在开标前开启投标文件并将有关信息泄露给其他投标人；</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招标人直接或者间接向投标人泄露标底、评标委员会成员等信息；</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招标人明示或者暗示投标人压低或者抬高投标报价；</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招标人授意投标人撤换、修改投标文件；</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招标人明示或者暗示投标人为特定投标人中标提供方便；</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招标人与投标人为谋求特定投标人中标而采取的其他串通行为。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弄虚作假</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使用通过受让或者租借等方式获取的资格、资质证书投标的，属于以他人名义投标。</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投标人有下列情形之一的，属于以其他方式弄虚作假的行为：</w:t>
            </w:r>
          </w:p>
          <w:p>
            <w:pPr>
              <w:numPr>
                <w:ilvl w:val="0"/>
                <w:numId w:val="7"/>
              </w:numPr>
              <w:snapToGrid w:val="0"/>
              <w:ind w:firstLineChars="0"/>
              <w:jc w:val="left"/>
              <w:rPr>
                <w:rFonts w:asciiTheme="minorEastAsia" w:hAnsiTheme="minorEastAsia" w:cstheme="minorEastAsia"/>
              </w:rPr>
            </w:pPr>
            <w:r>
              <w:rPr>
                <w:rFonts w:hint="eastAsia" w:asciiTheme="minorEastAsia" w:hAnsiTheme="minorEastAsia" w:cstheme="minorEastAsia"/>
              </w:rPr>
              <w:t>使用伪造、变造的许可证件；</w:t>
            </w:r>
          </w:p>
          <w:p>
            <w:pPr>
              <w:numPr>
                <w:ilvl w:val="0"/>
                <w:numId w:val="7"/>
              </w:numPr>
              <w:snapToGrid w:val="0"/>
              <w:ind w:firstLineChars="0"/>
              <w:jc w:val="left"/>
              <w:rPr>
                <w:rFonts w:asciiTheme="minorEastAsia" w:hAnsiTheme="minorEastAsia" w:cstheme="minorEastAsia"/>
              </w:rPr>
            </w:pPr>
            <w:r>
              <w:rPr>
                <w:rFonts w:hint="eastAsia" w:asciiTheme="minorEastAsia" w:hAnsiTheme="minorEastAsia" w:cstheme="minorEastAsia"/>
              </w:rPr>
              <w:t>提供虚假的财务状况或者业绩；</w:t>
            </w:r>
          </w:p>
          <w:p>
            <w:pPr>
              <w:numPr>
                <w:ilvl w:val="0"/>
                <w:numId w:val="7"/>
              </w:numPr>
              <w:snapToGrid w:val="0"/>
              <w:ind w:firstLineChars="0"/>
              <w:jc w:val="left"/>
              <w:rPr>
                <w:rFonts w:asciiTheme="minorEastAsia" w:hAnsiTheme="minorEastAsia" w:cstheme="minorEastAsia"/>
              </w:rPr>
            </w:pPr>
            <w:r>
              <w:rPr>
                <w:rFonts w:hint="eastAsia" w:asciiTheme="minorEastAsia" w:hAnsiTheme="minorEastAsia" w:cstheme="minorEastAsia"/>
              </w:rPr>
              <w:t>提供虚假的项目负责人或者主要技术人员简历、劳动关系证明；</w:t>
            </w:r>
          </w:p>
          <w:p>
            <w:pPr>
              <w:numPr>
                <w:ilvl w:val="0"/>
                <w:numId w:val="7"/>
              </w:numPr>
              <w:snapToGrid w:val="0"/>
              <w:ind w:firstLineChars="0"/>
              <w:jc w:val="left"/>
              <w:rPr>
                <w:rFonts w:asciiTheme="minorEastAsia" w:hAnsiTheme="minorEastAsia" w:cstheme="minorEastAsia"/>
              </w:rPr>
            </w:pPr>
            <w:r>
              <w:rPr>
                <w:rFonts w:hint="eastAsia" w:asciiTheme="minorEastAsia" w:hAnsiTheme="minorEastAsia" w:cstheme="minorEastAsia"/>
              </w:rPr>
              <w:t>提供虚假的信用状况；</w:t>
            </w:r>
          </w:p>
          <w:p>
            <w:pPr>
              <w:numPr>
                <w:ilvl w:val="0"/>
                <w:numId w:val="7"/>
              </w:numPr>
              <w:snapToGrid w:val="0"/>
              <w:ind w:firstLineChars="0"/>
              <w:jc w:val="left"/>
              <w:rPr>
                <w:rFonts w:asciiTheme="minorEastAsia" w:hAnsiTheme="minorEastAsia" w:cstheme="minorEastAsia"/>
              </w:rPr>
            </w:pPr>
            <w:r>
              <w:rPr>
                <w:rFonts w:hint="eastAsia" w:asciiTheme="minorEastAsia" w:hAnsiTheme="minorEastAsia" w:cstheme="minorEastAsia"/>
              </w:rPr>
              <w:t>其他弄虚作假的行为。</w:t>
            </w:r>
          </w:p>
        </w:tc>
      </w:tr>
    </w:tbl>
    <w:p>
      <w:pPr>
        <w:pStyle w:val="6"/>
        <w:snapToGrid w:val="0"/>
        <w:spacing w:before="0" w:after="0" w:line="360" w:lineRule="auto"/>
        <w:rPr>
          <w:rFonts w:cstheme="minorEastAsia"/>
        </w:rPr>
      </w:pPr>
      <w:bookmarkStart w:id="85" w:name="_Toc26353"/>
      <w:bookmarkStart w:id="86" w:name="_Toc43907166"/>
      <w:r>
        <w:rPr>
          <w:rFonts w:hint="eastAsia" w:cstheme="minorEastAsia"/>
        </w:rPr>
        <w:t>1.评标方法</w:t>
      </w:r>
      <w:bookmarkEnd w:id="85"/>
      <w:bookmarkEnd w:id="86"/>
    </w:p>
    <w:p>
      <w:pPr>
        <w:snapToGrid w:val="0"/>
        <w:spacing w:line="360" w:lineRule="auto"/>
        <w:rPr>
          <w:rFonts w:asciiTheme="minorEastAsia" w:hAnsiTheme="minorEastAsia" w:cstheme="minorEastAsia"/>
        </w:rPr>
      </w:pPr>
      <w:r>
        <w:rPr>
          <w:rFonts w:hint="eastAsia" w:asciiTheme="minorEastAsia" w:hAnsiTheme="minorEastAsia" w:cstheme="minorEastAsia"/>
        </w:rPr>
        <w:t>本次评标采用综合评估法。评标委员会对满足招标文件实质性要求的投标文件，按照本章第2.2款规定的评分标准进行打分，并按得分由高到低顺序推荐中标候选人，但投标报价低于其成本的除外。综合评分相等时，以投标报价低的优先；投标报价也相等的，以技术得分高的优先；如果技术得分也相等，按照评标办法前附表的规定确定中标候选人顺序。</w:t>
      </w:r>
    </w:p>
    <w:p>
      <w:pPr>
        <w:pStyle w:val="6"/>
        <w:snapToGrid w:val="0"/>
        <w:spacing w:before="0" w:after="0" w:line="360" w:lineRule="auto"/>
        <w:rPr>
          <w:rFonts w:cstheme="minorEastAsia"/>
        </w:rPr>
      </w:pPr>
      <w:bookmarkStart w:id="87" w:name="_Toc43907167"/>
      <w:bookmarkStart w:id="88" w:name="_Toc11474"/>
      <w:r>
        <w:rPr>
          <w:rFonts w:hint="eastAsia" w:cstheme="minorEastAsia"/>
        </w:rPr>
        <w:t>2.评审标准</w:t>
      </w:r>
      <w:bookmarkEnd w:id="87"/>
      <w:bookmarkEnd w:id="88"/>
    </w:p>
    <w:p>
      <w:pPr>
        <w:pStyle w:val="7"/>
        <w:snapToGrid w:val="0"/>
        <w:spacing w:before="0" w:after="0" w:line="360" w:lineRule="auto"/>
        <w:rPr>
          <w:rFonts w:cstheme="minorEastAsia"/>
        </w:rPr>
      </w:pPr>
      <w:bookmarkStart w:id="89" w:name="_Toc6222"/>
      <w:bookmarkStart w:id="90" w:name="_Toc43907168"/>
      <w:r>
        <w:rPr>
          <w:rFonts w:hint="eastAsia" w:cstheme="minorEastAsia"/>
        </w:rPr>
        <w:t>2.1初步评审标准</w:t>
      </w:r>
      <w:bookmarkEnd w:id="89"/>
      <w:bookmarkEnd w:id="90"/>
    </w:p>
    <w:p>
      <w:pPr>
        <w:snapToGrid w:val="0"/>
        <w:spacing w:line="360" w:lineRule="auto"/>
        <w:rPr>
          <w:rFonts w:asciiTheme="minorEastAsia" w:hAnsiTheme="minorEastAsia" w:cstheme="minorEastAsia"/>
        </w:rPr>
      </w:pPr>
      <w:r>
        <w:rPr>
          <w:rFonts w:hint="eastAsia" w:asciiTheme="minorEastAsia" w:hAnsiTheme="minorEastAsia" w:cstheme="minorEastAsia"/>
        </w:rPr>
        <w:t>2.1.1形式评审标准：见评标办法前附表。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2.1.2资格评审标准：见评标办法前附表。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2.1.3响应性评审标准：见评标办法前附表。</w:t>
      </w:r>
    </w:p>
    <w:p>
      <w:pPr>
        <w:pStyle w:val="7"/>
        <w:snapToGrid w:val="0"/>
        <w:spacing w:before="0" w:after="0" w:line="360" w:lineRule="auto"/>
        <w:rPr>
          <w:rFonts w:cstheme="minorEastAsia"/>
        </w:rPr>
      </w:pPr>
      <w:bookmarkStart w:id="91" w:name="_Toc43907169"/>
      <w:bookmarkStart w:id="92" w:name="_Toc13806"/>
      <w:r>
        <w:rPr>
          <w:rFonts w:hint="eastAsia" w:cstheme="minorEastAsia"/>
        </w:rPr>
        <w:t>2.2分值构成与评分标准</w:t>
      </w:r>
      <w:bookmarkEnd w:id="91"/>
      <w:bookmarkEnd w:id="92"/>
    </w:p>
    <w:p>
      <w:pPr>
        <w:snapToGrid w:val="0"/>
        <w:spacing w:line="360" w:lineRule="auto"/>
        <w:rPr>
          <w:rFonts w:asciiTheme="minorEastAsia" w:hAnsiTheme="minorEastAsia" w:cstheme="minorEastAsia"/>
        </w:rPr>
      </w:pPr>
      <w:r>
        <w:rPr>
          <w:rFonts w:hint="eastAsia" w:asciiTheme="minorEastAsia" w:hAnsiTheme="minorEastAsia" w:cstheme="minorEastAsia"/>
        </w:rPr>
        <w:t>2.2.1分值构成</w:t>
      </w:r>
    </w:p>
    <w:p>
      <w:pPr>
        <w:snapToGrid w:val="0"/>
        <w:spacing w:line="360" w:lineRule="auto"/>
        <w:rPr>
          <w:rFonts w:asciiTheme="minorEastAsia" w:hAnsiTheme="minorEastAsia" w:cstheme="minorEastAsia"/>
        </w:rPr>
      </w:pPr>
      <w:r>
        <w:rPr>
          <w:rFonts w:hint="eastAsia" w:asciiTheme="minorEastAsia" w:hAnsiTheme="minorEastAsia" w:cstheme="minorEastAsia"/>
        </w:rPr>
        <w:t>（1）商务部分：见评标办法前附表；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（2）技术部分：见评标办法前附表；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（3）投标报价：见评标办法前附表；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（4）其他评分因素：见评标办法前附表。 </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2.2.2评标基准价计算 评标基准价计算方法：见评标办法前附表。 </w:t>
      </w:r>
    </w:p>
    <w:p>
      <w:pPr>
        <w:snapToGrid w:val="0"/>
        <w:spacing w:line="360" w:lineRule="auto"/>
        <w:rPr>
          <w:rFonts w:asciiTheme="minorEastAsia" w:hAnsiTheme="minorEastAsia" w:cstheme="minorEastAsia"/>
        </w:rPr>
      </w:pPr>
      <w:r>
        <w:rPr>
          <w:rFonts w:hint="eastAsia" w:asciiTheme="minorEastAsia" w:hAnsiTheme="minorEastAsia" w:cstheme="minorEastAsia"/>
        </w:rPr>
        <w:t>2.2.3投标报价的偏差率计算</w:t>
      </w:r>
    </w:p>
    <w:p>
      <w:pPr>
        <w:snapToGrid w:val="0"/>
        <w:spacing w:line="360" w:lineRule="auto"/>
        <w:rPr>
          <w:rFonts w:asciiTheme="minorEastAsia" w:hAnsiTheme="minorEastAsia" w:cstheme="minorEastAsia"/>
        </w:rPr>
      </w:pPr>
      <w:r>
        <w:rPr>
          <w:rFonts w:hint="eastAsia" w:asciiTheme="minorEastAsia" w:hAnsiTheme="minorEastAsia" w:cstheme="minorEastAsia"/>
        </w:rPr>
        <w:t>投标报价的偏差率计算公式：见评标办法前附表。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2.2.4评分标准</w:t>
      </w:r>
    </w:p>
    <w:p>
      <w:pPr>
        <w:snapToGrid w:val="0"/>
        <w:spacing w:line="360" w:lineRule="auto"/>
        <w:rPr>
          <w:rFonts w:asciiTheme="minorEastAsia" w:hAnsiTheme="minorEastAsia" w:cstheme="minorEastAsia"/>
        </w:rPr>
      </w:pPr>
      <w:r>
        <w:rPr>
          <w:rFonts w:hint="eastAsia" w:asciiTheme="minorEastAsia" w:hAnsiTheme="minorEastAsia" w:cstheme="minorEastAsia"/>
        </w:rPr>
        <w:t>（1）商务评分标准：见评标办法前附表；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（2）技术评分标准：见评标办法前附表；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（3）投标报价评分标准：见评标办法前附表；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（4）其他因素评分标准：见评标办法前附表。</w:t>
      </w:r>
    </w:p>
    <w:p>
      <w:pPr>
        <w:pStyle w:val="6"/>
        <w:snapToGrid w:val="0"/>
        <w:spacing w:before="0" w:after="0" w:line="360" w:lineRule="auto"/>
        <w:rPr>
          <w:rFonts w:cstheme="minorEastAsia"/>
        </w:rPr>
      </w:pPr>
      <w:bookmarkStart w:id="93" w:name="_Toc13959"/>
      <w:bookmarkStart w:id="94" w:name="_Toc43907170"/>
      <w:r>
        <w:rPr>
          <w:rFonts w:hint="eastAsia" w:cstheme="minorEastAsia"/>
        </w:rPr>
        <w:t>3.评标程序</w:t>
      </w:r>
      <w:bookmarkEnd w:id="93"/>
      <w:bookmarkEnd w:id="94"/>
    </w:p>
    <w:p>
      <w:pPr>
        <w:pStyle w:val="7"/>
        <w:snapToGrid w:val="0"/>
        <w:spacing w:before="0" w:after="0" w:line="360" w:lineRule="auto"/>
        <w:rPr>
          <w:rFonts w:cstheme="minorEastAsia"/>
        </w:rPr>
      </w:pPr>
      <w:bookmarkStart w:id="95" w:name="_Toc43907171"/>
      <w:bookmarkStart w:id="96" w:name="_Toc31556"/>
      <w:r>
        <w:rPr>
          <w:rFonts w:hint="eastAsia" w:cstheme="minorEastAsia"/>
        </w:rPr>
        <w:t>3.1初步评审</w:t>
      </w:r>
      <w:bookmarkEnd w:id="95"/>
      <w:bookmarkEnd w:id="96"/>
    </w:p>
    <w:p>
      <w:pPr>
        <w:snapToGrid w:val="0"/>
        <w:spacing w:line="360" w:lineRule="auto"/>
        <w:rPr>
          <w:rFonts w:asciiTheme="minorEastAsia" w:hAnsiTheme="minorEastAsia" w:cstheme="minorEastAsia"/>
        </w:rPr>
      </w:pPr>
      <w:r>
        <w:rPr>
          <w:rFonts w:hint="eastAsia" w:asciiTheme="minorEastAsia" w:hAnsiTheme="minorEastAsia" w:cstheme="minorEastAsia"/>
        </w:rPr>
        <w:t>3.1.1评标委员会可以要求投标人提交第二章“投标人须知”规定的有关证明和证件的原件，以便核验。评标委员会依据本章第2.1款规定的标准对投标文件进行初步评审。有一项不符合评审标准的，评标委员会应当否决其投标。</w:t>
      </w:r>
    </w:p>
    <w:p>
      <w:pPr>
        <w:snapToGrid w:val="0"/>
        <w:spacing w:line="360" w:lineRule="auto"/>
        <w:rPr>
          <w:rFonts w:asciiTheme="minorEastAsia" w:hAnsiTheme="minorEastAsia" w:cstheme="minorEastAsia"/>
        </w:rPr>
      </w:pPr>
      <w:r>
        <w:rPr>
          <w:rFonts w:hint="eastAsia" w:asciiTheme="minorEastAsia" w:hAnsiTheme="minorEastAsia" w:cstheme="minorEastAsia"/>
        </w:rPr>
        <w:t>3.1.2投标人有以下情形之一的，评标委员会应当否决其投标：</w:t>
      </w:r>
    </w:p>
    <w:p>
      <w:pPr>
        <w:snapToGrid w:val="0"/>
        <w:spacing w:line="360" w:lineRule="auto"/>
        <w:rPr>
          <w:rFonts w:asciiTheme="minorEastAsia" w:hAnsiTheme="minorEastAsia" w:cstheme="minorEastAsia"/>
        </w:rPr>
      </w:pPr>
      <w:r>
        <w:rPr>
          <w:rFonts w:hint="eastAsia" w:asciiTheme="minorEastAsia" w:hAnsiTheme="minorEastAsia" w:cstheme="minorEastAsia"/>
        </w:rPr>
        <w:t>（1）投标文件没有对招标文件的实质性要求和条件作出响应，或者对招标文件的偏差超出招标文件规定的偏差范围或最高项数；</w:t>
      </w:r>
    </w:p>
    <w:p>
      <w:pPr>
        <w:snapToGrid w:val="0"/>
        <w:spacing w:line="360" w:lineRule="auto"/>
        <w:rPr>
          <w:rFonts w:asciiTheme="minorEastAsia" w:hAnsiTheme="minorEastAsia" w:cstheme="minorEastAsia"/>
        </w:rPr>
      </w:pPr>
      <w:r>
        <w:rPr>
          <w:rFonts w:hint="eastAsia" w:asciiTheme="minorEastAsia" w:hAnsiTheme="minorEastAsia" w:cstheme="minorEastAsia"/>
        </w:rPr>
        <w:t>（2）第二章“投标人须知”第1.4.3项规定的任何一种情形的；</w:t>
      </w:r>
    </w:p>
    <w:p>
      <w:pPr>
        <w:snapToGrid w:val="0"/>
        <w:spacing w:line="360" w:lineRule="auto"/>
        <w:rPr>
          <w:rFonts w:asciiTheme="minorEastAsia" w:hAnsiTheme="minorEastAsia" w:cstheme="minorEastAsia"/>
        </w:rPr>
      </w:pPr>
      <w:r>
        <w:rPr>
          <w:rFonts w:hint="eastAsia" w:asciiTheme="minorEastAsia" w:hAnsiTheme="minorEastAsia" w:cstheme="minorEastAsia"/>
        </w:rPr>
        <w:t>（3）有串通投标、弄虚作假、行贿等违法行为。</w:t>
      </w:r>
    </w:p>
    <w:p>
      <w:pPr>
        <w:snapToGrid w:val="0"/>
        <w:spacing w:line="360" w:lineRule="auto"/>
        <w:rPr>
          <w:rFonts w:asciiTheme="minorEastAsia" w:hAnsiTheme="minorEastAsia" w:cstheme="minorEastAsia"/>
        </w:rPr>
      </w:pPr>
      <w:r>
        <w:rPr>
          <w:rFonts w:hint="eastAsia" w:asciiTheme="minorEastAsia" w:hAnsiTheme="minorEastAsia" w:cstheme="minorEastAsia"/>
        </w:rPr>
        <w:t>3.1.3投标报价有算术错误及其他错误的，评标委员会按以下原则要求投标人对投标报价进行修正，并要求投标人书面澄清确认。投标人拒不澄清确认的，评标委员会应当否决其投标：</w:t>
      </w:r>
    </w:p>
    <w:p>
      <w:pPr>
        <w:snapToGrid w:val="0"/>
        <w:spacing w:line="360" w:lineRule="auto"/>
        <w:rPr>
          <w:rFonts w:asciiTheme="minorEastAsia" w:hAnsiTheme="minorEastAsia" w:cstheme="minorEastAsia"/>
        </w:rPr>
      </w:pPr>
      <w:r>
        <w:rPr>
          <w:rFonts w:hint="eastAsia" w:asciiTheme="minorEastAsia" w:hAnsiTheme="minorEastAsia" w:cstheme="minorEastAsia"/>
        </w:rPr>
        <w:t>（1）投标文件中的大写金额与小写金额不一致的，以大写金额为准；</w:t>
      </w:r>
    </w:p>
    <w:p>
      <w:pPr>
        <w:snapToGrid w:val="0"/>
        <w:spacing w:line="360" w:lineRule="auto"/>
        <w:rPr>
          <w:rFonts w:asciiTheme="minorEastAsia" w:hAnsiTheme="minorEastAsia" w:cstheme="minorEastAsia"/>
        </w:rPr>
      </w:pPr>
      <w:r>
        <w:rPr>
          <w:rFonts w:hint="eastAsia" w:asciiTheme="minorEastAsia" w:hAnsiTheme="minorEastAsia" w:cstheme="minorEastAsia"/>
        </w:rPr>
        <w:t>（2）总价金额与单价金额不一致的，以单价金额为准，但单价金额小数点有明显错误的除外；</w:t>
      </w:r>
    </w:p>
    <w:p>
      <w:pPr>
        <w:snapToGrid w:val="0"/>
        <w:spacing w:line="360" w:lineRule="auto"/>
        <w:rPr>
          <w:rFonts w:asciiTheme="minorEastAsia" w:hAnsiTheme="minorEastAsia" w:cstheme="minorEastAsia"/>
        </w:rPr>
      </w:pPr>
      <w:r>
        <w:rPr>
          <w:rFonts w:hint="eastAsia" w:asciiTheme="minorEastAsia" w:hAnsiTheme="minorEastAsia" w:cstheme="minorEastAsia"/>
        </w:rPr>
        <w:t>（3）投标报价为各分项报价金额之和，投标报价与分项报价的合价不一致的，应以各分项合价累计数为准，修正投标报价；</w:t>
      </w:r>
    </w:p>
    <w:p>
      <w:pPr>
        <w:snapToGrid w:val="0"/>
        <w:spacing w:line="360" w:lineRule="auto"/>
        <w:rPr>
          <w:rFonts w:asciiTheme="minorEastAsia" w:hAnsiTheme="minorEastAsia" w:cstheme="minorEastAsia"/>
        </w:rPr>
      </w:pPr>
      <w:r>
        <w:rPr>
          <w:rFonts w:hint="eastAsia" w:asciiTheme="minorEastAsia" w:hAnsiTheme="minorEastAsia" w:cstheme="minorEastAsia"/>
        </w:rPr>
        <w:t>（4）如果分项报价中存在缺漏项，则视为缺漏项价格已包含在其他分项报价之中。</w:t>
      </w:r>
    </w:p>
    <w:p>
      <w:pPr>
        <w:pStyle w:val="7"/>
        <w:snapToGrid w:val="0"/>
        <w:spacing w:before="0" w:after="0" w:line="360" w:lineRule="auto"/>
        <w:rPr>
          <w:rFonts w:cstheme="minorEastAsia"/>
        </w:rPr>
      </w:pPr>
      <w:bookmarkStart w:id="97" w:name="_Toc43907172"/>
      <w:bookmarkStart w:id="98" w:name="_Toc8357"/>
      <w:r>
        <w:rPr>
          <w:rFonts w:hint="eastAsia" w:cstheme="minorEastAsia"/>
        </w:rPr>
        <w:t>3.2详细评审</w:t>
      </w:r>
      <w:bookmarkEnd w:id="97"/>
      <w:bookmarkEnd w:id="98"/>
    </w:p>
    <w:p>
      <w:pPr>
        <w:snapToGrid w:val="0"/>
        <w:spacing w:line="360" w:lineRule="auto"/>
        <w:rPr>
          <w:rFonts w:asciiTheme="minorEastAsia" w:hAnsiTheme="minorEastAsia" w:cstheme="minorEastAsia"/>
        </w:rPr>
      </w:pPr>
      <w:r>
        <w:rPr>
          <w:rFonts w:hint="eastAsia" w:asciiTheme="minorEastAsia" w:hAnsiTheme="minorEastAsia" w:cstheme="minorEastAsia"/>
        </w:rPr>
        <w:t>3.2.1评标委员会按本章第2.2款规定的量化因素和分值进行打分，并计算出综合评估得分。</w:t>
      </w:r>
    </w:p>
    <w:p>
      <w:pPr>
        <w:snapToGrid w:val="0"/>
        <w:spacing w:line="360" w:lineRule="auto"/>
        <w:rPr>
          <w:rFonts w:asciiTheme="minorEastAsia" w:hAnsiTheme="minorEastAsia" w:cstheme="minorEastAsia"/>
        </w:rPr>
      </w:pPr>
      <w:r>
        <w:rPr>
          <w:rFonts w:hint="eastAsia" w:asciiTheme="minorEastAsia" w:hAnsiTheme="minorEastAsia" w:cstheme="minorEastAsia"/>
        </w:rPr>
        <w:t>（1）按本章第2.2.4（1）目规定的评审因素和分值对商务部分计算出得分A；</w:t>
      </w:r>
    </w:p>
    <w:p>
      <w:pPr>
        <w:snapToGrid w:val="0"/>
        <w:spacing w:line="360" w:lineRule="auto"/>
        <w:rPr>
          <w:rFonts w:asciiTheme="minorEastAsia" w:hAnsiTheme="minorEastAsia" w:cstheme="minorEastAsia"/>
        </w:rPr>
      </w:pPr>
      <w:r>
        <w:rPr>
          <w:rFonts w:hint="eastAsia" w:asciiTheme="minorEastAsia" w:hAnsiTheme="minorEastAsia" w:cstheme="minorEastAsia"/>
        </w:rPr>
        <w:t>（2）按本章第2.2.4（2）目规定的评审因素和分值对技术部分计算出得分B；</w:t>
      </w:r>
    </w:p>
    <w:p>
      <w:pPr>
        <w:snapToGrid w:val="0"/>
        <w:spacing w:line="360" w:lineRule="auto"/>
        <w:rPr>
          <w:rFonts w:asciiTheme="minorEastAsia" w:hAnsiTheme="minorEastAsia" w:cstheme="minorEastAsia"/>
        </w:rPr>
      </w:pPr>
      <w:r>
        <w:rPr>
          <w:rFonts w:hint="eastAsia" w:asciiTheme="minorEastAsia" w:hAnsiTheme="minorEastAsia" w:cstheme="minorEastAsia"/>
        </w:rPr>
        <w:t>（3）按本章第2.2.4（3）目规定的评审因素和分值对投标报价计算出得分C；</w:t>
      </w:r>
    </w:p>
    <w:p>
      <w:pPr>
        <w:snapToGrid w:val="0"/>
        <w:spacing w:line="360" w:lineRule="auto"/>
        <w:rPr>
          <w:rFonts w:asciiTheme="minorEastAsia" w:hAnsiTheme="minorEastAsia" w:cstheme="minorEastAsia"/>
        </w:rPr>
      </w:pPr>
      <w:r>
        <w:rPr>
          <w:rFonts w:hint="eastAsia" w:asciiTheme="minorEastAsia" w:hAnsiTheme="minorEastAsia" w:cstheme="minorEastAsia"/>
        </w:rPr>
        <w:t>（4）按本章第2.2.4（4）目规定的评审因素和分值对其他部分计算出得分D。</w:t>
      </w:r>
    </w:p>
    <w:p>
      <w:pPr>
        <w:snapToGrid w:val="0"/>
        <w:spacing w:line="360" w:lineRule="auto"/>
        <w:rPr>
          <w:rFonts w:asciiTheme="minorEastAsia" w:hAnsiTheme="minorEastAsia" w:cstheme="minorEastAsia"/>
        </w:rPr>
      </w:pPr>
      <w:r>
        <w:rPr>
          <w:rFonts w:hint="eastAsia" w:asciiTheme="minorEastAsia" w:hAnsiTheme="minorEastAsia" w:cstheme="minorEastAsia"/>
        </w:rPr>
        <w:t>3.2.2评分分值计算保留小数点后两位，小数点后第三位“四舍五入”。</w:t>
      </w:r>
    </w:p>
    <w:p>
      <w:pPr>
        <w:snapToGrid w:val="0"/>
        <w:spacing w:line="360" w:lineRule="auto"/>
        <w:rPr>
          <w:rFonts w:asciiTheme="minorEastAsia" w:hAnsiTheme="minorEastAsia" w:cstheme="minorEastAsia"/>
        </w:rPr>
      </w:pPr>
      <w:r>
        <w:rPr>
          <w:rFonts w:hint="eastAsia" w:asciiTheme="minorEastAsia" w:hAnsiTheme="minorEastAsia" w:cstheme="minorEastAsia"/>
        </w:rPr>
        <w:t>3.2.3投标人得分=A+B+C+D。</w:t>
      </w:r>
    </w:p>
    <w:p>
      <w:pPr>
        <w:snapToGrid w:val="0"/>
        <w:spacing w:line="360" w:lineRule="auto"/>
        <w:rPr>
          <w:rFonts w:asciiTheme="minorEastAsia" w:hAnsiTheme="minorEastAsia" w:cstheme="minorEastAsia"/>
        </w:rPr>
      </w:pPr>
      <w:r>
        <w:rPr>
          <w:rFonts w:hint="eastAsia" w:asciiTheme="minorEastAsia" w:hAnsiTheme="minorEastAsia" w:cstheme="minorEastAsia"/>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7"/>
        <w:snapToGrid w:val="0"/>
        <w:spacing w:before="0" w:after="0" w:line="360" w:lineRule="auto"/>
        <w:rPr>
          <w:rFonts w:cstheme="minorEastAsia"/>
        </w:rPr>
      </w:pPr>
      <w:bookmarkStart w:id="99" w:name="_Toc16426"/>
      <w:bookmarkStart w:id="100" w:name="_Toc43907173"/>
      <w:r>
        <w:rPr>
          <w:rFonts w:hint="eastAsia" w:cstheme="minorEastAsia"/>
        </w:rPr>
        <w:t>3.3投标文件的澄清</w:t>
      </w:r>
      <w:bookmarkEnd w:id="99"/>
      <w:bookmarkEnd w:id="100"/>
    </w:p>
    <w:p>
      <w:pPr>
        <w:snapToGrid w:val="0"/>
        <w:spacing w:line="360" w:lineRule="auto"/>
        <w:rPr>
          <w:rFonts w:asciiTheme="minorEastAsia" w:hAnsiTheme="minorEastAsia" w:cstheme="minorEastAsia"/>
        </w:rPr>
      </w:pPr>
      <w:r>
        <w:rPr>
          <w:rFonts w:hint="eastAsia" w:asciiTheme="minorEastAsia" w:hAnsiTheme="minorEastAsia" w:cstheme="minorEastAsia"/>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napToGrid w:val="0"/>
        <w:spacing w:line="360" w:lineRule="auto"/>
        <w:rPr>
          <w:rFonts w:asciiTheme="minorEastAsia" w:hAnsiTheme="minorEastAsia" w:cstheme="minorEastAsia"/>
        </w:rPr>
      </w:pPr>
      <w:r>
        <w:rPr>
          <w:rFonts w:hint="eastAsia" w:asciiTheme="minorEastAsia" w:hAnsiTheme="minorEastAsia" w:cstheme="minorEastAsia"/>
        </w:rPr>
        <w:t>3.3.2澄清、说明或补正不得超出投标文件的范围且不得改变投标文件的实质性内容，并构成投标文件的组成部分。</w:t>
      </w:r>
    </w:p>
    <w:p>
      <w:pPr>
        <w:snapToGrid w:val="0"/>
        <w:spacing w:line="360" w:lineRule="auto"/>
        <w:rPr>
          <w:rFonts w:asciiTheme="minorEastAsia" w:hAnsiTheme="minorEastAsia" w:cstheme="minorEastAsia"/>
        </w:rPr>
      </w:pPr>
      <w:r>
        <w:rPr>
          <w:rFonts w:hint="eastAsia" w:asciiTheme="minorEastAsia" w:hAnsiTheme="minorEastAsia" w:cstheme="minorEastAsia"/>
        </w:rPr>
        <w:t>3.3.3评标委员会对投标人提交的澄清、说明或补正有疑问的，可以要求投标人进一步澄清、说明或补正，直至满足评标委员会的要求。</w:t>
      </w:r>
    </w:p>
    <w:p>
      <w:pPr>
        <w:pStyle w:val="7"/>
        <w:snapToGrid w:val="0"/>
        <w:spacing w:before="0" w:after="0" w:line="360" w:lineRule="auto"/>
        <w:rPr>
          <w:rFonts w:cstheme="minorEastAsia"/>
        </w:rPr>
      </w:pPr>
      <w:bookmarkStart w:id="101" w:name="_Toc43907174"/>
      <w:bookmarkStart w:id="102" w:name="_Toc13137"/>
      <w:r>
        <w:rPr>
          <w:rFonts w:hint="eastAsia" w:cstheme="minorEastAsia"/>
        </w:rPr>
        <w:t>3.4评标结果</w:t>
      </w:r>
      <w:bookmarkEnd w:id="101"/>
      <w:bookmarkEnd w:id="102"/>
    </w:p>
    <w:p>
      <w:pPr>
        <w:snapToGrid w:val="0"/>
        <w:spacing w:line="360" w:lineRule="auto"/>
        <w:rPr>
          <w:rFonts w:asciiTheme="minorEastAsia" w:hAnsiTheme="minorEastAsia" w:cstheme="minorEastAsia"/>
        </w:rPr>
      </w:pPr>
      <w:r>
        <w:rPr>
          <w:rFonts w:hint="eastAsia" w:asciiTheme="minorEastAsia" w:hAnsiTheme="minorEastAsia" w:cstheme="minorEastAsia"/>
        </w:rPr>
        <w:t>3.4.1除第二章“投标人须知”前附表授权直接确定中标人外，评标委员会按照得分由高到低的顺序推荐中标候选人，并标明排序。</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3.4.2评标委员会完成评标后，应当向招标人提交书面评标报告和中标候选人名单。 </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4"/>
        <w:snapToGrid w:val="0"/>
        <w:spacing w:before="0" w:after="0" w:line="360" w:lineRule="auto"/>
        <w:rPr>
          <w:rFonts w:asciiTheme="minorEastAsia" w:hAnsiTheme="minorEastAsia" w:eastAsiaTheme="minorEastAsia" w:cstheme="minorEastAsia"/>
        </w:rPr>
      </w:pPr>
      <w:bookmarkStart w:id="103" w:name="_Toc43907175"/>
      <w:r>
        <w:rPr>
          <w:rFonts w:hint="eastAsia" w:asciiTheme="minorEastAsia" w:hAnsiTheme="minorEastAsia" w:eastAsiaTheme="minorEastAsia" w:cstheme="minorEastAsia"/>
        </w:rPr>
        <w:t>第四章 合同条款及格式</w:t>
      </w:r>
      <w:bookmarkEnd w:id="103"/>
      <w:r>
        <w:rPr>
          <w:rFonts w:hint="eastAsia" w:asciiTheme="minorEastAsia" w:hAnsiTheme="minorEastAsia" w:eastAsiaTheme="minorEastAsia" w:cstheme="minorEastAsia"/>
        </w:rPr>
        <w:t xml:space="preserve"> </w:t>
      </w:r>
    </w:p>
    <w:p>
      <w:pPr>
        <w:pStyle w:val="15"/>
        <w:snapToGrid w:val="0"/>
        <w:spacing w:line="360" w:lineRule="auto"/>
        <w:rPr>
          <w:rFonts w:asciiTheme="minorEastAsia" w:hAnsiTheme="minorEastAsia" w:cstheme="minorEastAsia"/>
          <w:color w:val="000000"/>
          <w:sz w:val="21"/>
        </w:rPr>
      </w:pPr>
      <w:r>
        <w:rPr>
          <w:rFonts w:hint="eastAsia" w:asciiTheme="minorEastAsia" w:hAnsiTheme="minorEastAsia" w:cstheme="minorEastAsia"/>
          <w:sz w:val="21"/>
        </w:rPr>
        <w:t>项目名称：</w:t>
      </w:r>
      <w:r>
        <w:rPr>
          <w:rFonts w:hint="eastAsia" w:asciiTheme="minorEastAsia" w:hAnsiTheme="minorEastAsia" w:cstheme="minorEastAsia"/>
          <w:color w:val="000000"/>
          <w:sz w:val="21"/>
        </w:rPr>
        <w:t>扬州市民卡“扬州公用事业缴费中心系统建设”云计算环境升级采购和服务</w:t>
      </w:r>
    </w:p>
    <w:p>
      <w:pPr>
        <w:pStyle w:val="15"/>
        <w:snapToGrid w:val="0"/>
        <w:spacing w:line="360" w:lineRule="auto"/>
        <w:rPr>
          <w:rFonts w:asciiTheme="minorEastAsia" w:hAnsiTheme="minorEastAsia" w:cstheme="minorEastAsia"/>
          <w:color w:val="000000"/>
          <w:sz w:val="21"/>
        </w:rPr>
      </w:pPr>
      <w:r>
        <w:rPr>
          <w:rFonts w:hint="eastAsia" w:asciiTheme="minorEastAsia" w:hAnsiTheme="minorEastAsia" w:cstheme="minorEastAsia"/>
          <w:sz w:val="21"/>
        </w:rPr>
        <w:t>编号：</w:t>
      </w:r>
      <w:r>
        <w:rPr>
          <w:rFonts w:hint="eastAsia" w:asciiTheme="minorEastAsia" w:hAnsiTheme="minorEastAsia" w:cstheme="minorEastAsia"/>
          <w:color w:val="000000"/>
          <w:sz w:val="21"/>
        </w:rPr>
        <w:t xml:space="preserve"> </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甲方（招标人/买方）：</w:t>
      </w:r>
      <w:r>
        <w:rPr>
          <w:rFonts w:hint="eastAsia" w:asciiTheme="minorEastAsia" w:hAnsiTheme="minorEastAsia" w:cstheme="minorEastAsia"/>
          <w:color w:val="000000"/>
          <w:sz w:val="21"/>
        </w:rPr>
        <w:t xml:space="preserve">扬州市民卡有限责任公司 </w:t>
      </w:r>
      <w:r>
        <w:rPr>
          <w:rFonts w:hint="eastAsia" w:asciiTheme="minorEastAsia" w:hAnsiTheme="minorEastAsia" w:cstheme="minorEastAsia"/>
          <w:sz w:val="21"/>
        </w:rPr>
        <w:t xml:space="preserve">        </w:t>
      </w:r>
    </w:p>
    <w:p>
      <w:pPr>
        <w:pStyle w:val="15"/>
        <w:snapToGrid w:val="0"/>
        <w:spacing w:line="360" w:lineRule="auto"/>
        <w:rPr>
          <w:rFonts w:asciiTheme="minorEastAsia" w:hAnsiTheme="minorEastAsia" w:cstheme="minorEastAsia"/>
          <w:sz w:val="21"/>
          <w:u w:val="single"/>
        </w:rPr>
      </w:pPr>
      <w:r>
        <w:rPr>
          <w:rFonts w:hint="eastAsia" w:asciiTheme="minorEastAsia" w:hAnsiTheme="minorEastAsia" w:cstheme="minorEastAsia"/>
          <w:sz w:val="21"/>
        </w:rPr>
        <w:t>乙方（供应商/卖方）：</w:t>
      </w:r>
      <w:r>
        <w:rPr>
          <w:rFonts w:hint="eastAsia" w:asciiTheme="minorEastAsia" w:hAnsiTheme="minorEastAsia" w:cstheme="minorEastAsia"/>
          <w:sz w:val="21"/>
          <w:u w:val="single"/>
        </w:rPr>
        <w:t xml:space="preserve">              </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根据《中华人民共和国招标投标法》、《中华人民共和国合同法》等法律法规的规定，甲乙双方按照</w:t>
      </w:r>
      <w:r>
        <w:rPr>
          <w:rFonts w:hint="eastAsia" w:asciiTheme="minorEastAsia" w:hAnsiTheme="minorEastAsia" w:cstheme="minorEastAsia"/>
          <w:sz w:val="21"/>
          <w:u w:val="single"/>
        </w:rPr>
        <w:t xml:space="preserve">                 </w:t>
      </w:r>
      <w:r>
        <w:rPr>
          <w:rFonts w:hint="eastAsia" w:asciiTheme="minorEastAsia" w:hAnsiTheme="minorEastAsia" w:cstheme="minorEastAsia"/>
          <w:sz w:val="21"/>
        </w:rPr>
        <w:t>关于本项目招标结果签订本合同。</w:t>
      </w:r>
    </w:p>
    <w:p>
      <w:pPr>
        <w:pStyle w:val="15"/>
        <w:snapToGrid w:val="0"/>
        <w:spacing w:line="360" w:lineRule="auto"/>
        <w:ind w:firstLine="422"/>
        <w:rPr>
          <w:rFonts w:asciiTheme="minorEastAsia" w:hAnsiTheme="minorEastAsia" w:cstheme="minorEastAsia"/>
          <w:b/>
          <w:bCs/>
          <w:sz w:val="21"/>
        </w:rPr>
      </w:pPr>
      <w:r>
        <w:rPr>
          <w:rFonts w:hint="eastAsia" w:asciiTheme="minorEastAsia" w:hAnsiTheme="minorEastAsia" w:cstheme="minorEastAsia"/>
          <w:b/>
          <w:bCs/>
          <w:sz w:val="21"/>
        </w:rPr>
        <w:t>1、合同标的</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乙方根据甲方需求，提供下列服务：</w:t>
      </w:r>
      <w:r>
        <w:rPr>
          <w:rFonts w:hint="eastAsia" w:asciiTheme="minorEastAsia" w:hAnsiTheme="minorEastAsia" w:cstheme="minorEastAsia"/>
          <w:sz w:val="21"/>
          <w:u w:val="single"/>
        </w:rPr>
        <w:t xml:space="preserve">                      </w:t>
      </w:r>
      <w:r>
        <w:rPr>
          <w:rFonts w:hint="eastAsia" w:asciiTheme="minorEastAsia" w:hAnsiTheme="minorEastAsia" w:cstheme="minorEastAsia"/>
          <w:sz w:val="21"/>
        </w:rPr>
        <w:t>。</w:t>
      </w:r>
    </w:p>
    <w:p>
      <w:pPr>
        <w:pStyle w:val="15"/>
        <w:snapToGrid w:val="0"/>
        <w:spacing w:line="360" w:lineRule="auto"/>
        <w:rPr>
          <w:rFonts w:asciiTheme="minorEastAsia" w:hAnsiTheme="minorEastAsia" w:cstheme="minorEastAsia"/>
          <w:b/>
          <w:sz w:val="21"/>
        </w:rPr>
      </w:pPr>
      <w:r>
        <w:rPr>
          <w:rFonts w:hint="eastAsia" w:asciiTheme="minorEastAsia" w:hAnsiTheme="minorEastAsia" w:cstheme="minorEastAsia"/>
          <w:sz w:val="21"/>
        </w:rPr>
        <w:t>服务内容等要求详见招投标文件。</w:t>
      </w:r>
    </w:p>
    <w:p>
      <w:pPr>
        <w:pStyle w:val="15"/>
        <w:snapToGrid w:val="0"/>
        <w:spacing w:line="360" w:lineRule="auto"/>
        <w:ind w:firstLine="422"/>
        <w:rPr>
          <w:rFonts w:asciiTheme="minorEastAsia" w:hAnsiTheme="minorEastAsia" w:cstheme="minorEastAsia"/>
          <w:b/>
          <w:bCs/>
          <w:sz w:val="21"/>
        </w:rPr>
      </w:pPr>
      <w:r>
        <w:rPr>
          <w:rFonts w:hint="eastAsia" w:asciiTheme="minorEastAsia" w:hAnsiTheme="minorEastAsia" w:cstheme="minorEastAsia"/>
          <w:b/>
          <w:bCs/>
          <w:sz w:val="21"/>
        </w:rPr>
        <w:t>2、合同总金额</w:t>
      </w:r>
    </w:p>
    <w:p>
      <w:pPr>
        <w:pStyle w:val="15"/>
        <w:snapToGrid w:val="0"/>
        <w:spacing w:line="360" w:lineRule="auto"/>
        <w:ind w:left="315" w:leftChars="150" w:firstLine="105" w:firstLineChars="50"/>
        <w:rPr>
          <w:rFonts w:asciiTheme="minorEastAsia" w:hAnsiTheme="minorEastAsia" w:cstheme="minorEastAsia"/>
          <w:sz w:val="21"/>
        </w:rPr>
      </w:pPr>
      <w:r>
        <w:rPr>
          <w:rFonts w:hint="eastAsia" w:asciiTheme="minorEastAsia" w:hAnsiTheme="minorEastAsia" w:cstheme="minorEastAsia"/>
          <w:sz w:val="21"/>
        </w:rPr>
        <w:t>2.1 本合同金额为（大写）：_______________________________元人民币（¥_____元）。</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2.2 本合同总金额包括乙方提供的服务及其他有关的为完成本项目发生的所有费用，招标文件中另有规定的除外。</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2.3 在招标文件未列明，而乙方认为履行本合同必需的费用也包含在合同总金额中。</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2.4 本合同总金额还包含乙方提供的伴随服务/售后服务费用。</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2.5 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招标采购时的价格水平做相应的调减，并据此签订补充合同；除上述情况外，本合同执行期间合同总金额不变。</w:t>
      </w:r>
    </w:p>
    <w:p>
      <w:pPr>
        <w:pStyle w:val="15"/>
        <w:snapToGrid w:val="0"/>
        <w:spacing w:line="360" w:lineRule="auto"/>
        <w:ind w:firstLine="422"/>
        <w:rPr>
          <w:rFonts w:asciiTheme="minorEastAsia" w:hAnsiTheme="minorEastAsia" w:cstheme="minorEastAsia"/>
          <w:b/>
          <w:bCs/>
          <w:sz w:val="21"/>
        </w:rPr>
      </w:pPr>
      <w:r>
        <w:rPr>
          <w:rFonts w:hint="eastAsia" w:asciiTheme="minorEastAsia" w:hAnsiTheme="minorEastAsia" w:cstheme="minorEastAsia"/>
          <w:b/>
          <w:bCs/>
          <w:sz w:val="21"/>
        </w:rPr>
        <w:t>3、组成本合同的有关文件</w:t>
      </w:r>
    </w:p>
    <w:p>
      <w:pPr>
        <w:pStyle w:val="15"/>
        <w:snapToGrid w:val="0"/>
        <w:spacing w:line="360" w:lineRule="auto"/>
        <w:ind w:left="315" w:leftChars="150" w:firstLine="105" w:firstLineChars="50"/>
        <w:rPr>
          <w:rFonts w:asciiTheme="minorEastAsia" w:hAnsiTheme="minorEastAsia" w:cstheme="minorEastAsia"/>
          <w:sz w:val="21"/>
        </w:rPr>
      </w:pPr>
      <w:r>
        <w:rPr>
          <w:rFonts w:hint="eastAsia" w:asciiTheme="minorEastAsia" w:hAnsiTheme="minorEastAsia" w:cstheme="minorEastAsia"/>
          <w:sz w:val="21"/>
        </w:rPr>
        <w:t>3.1乙方应按招标文件规定的时间向甲方提供服务的有关技术资料。</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3.2 没有甲方事先书面同意，乙方不得将由甲方提供的有关合同或任何合同条文或资料提供给任何其他人。即使向履行本合同有关的人员提供，也应注意保密并限于履行合同的必需范围。</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3.3 关于本项目采购的招投标文件或与本次采购活动方式相适应的文件及有关附件是本合同不可分割的组成部分，这些文件包括但不限于：</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（1）投标响应文件；</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（2）投标报价文件；</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 xml:space="preserve">（3）项目组人员表   </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（4）技术参数、商务条款响应及偏离表；</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（5）服务承诺；</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（6）中标通知书；</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 xml:space="preserve">（7）甲乙双方补充协议； </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（8）乙方投标时提供的响应文件。</w:t>
      </w:r>
    </w:p>
    <w:p>
      <w:pPr>
        <w:pStyle w:val="15"/>
        <w:snapToGrid w:val="0"/>
        <w:spacing w:line="360" w:lineRule="auto"/>
        <w:ind w:left="315" w:leftChars="150" w:firstLine="105" w:firstLineChars="50"/>
        <w:rPr>
          <w:rFonts w:asciiTheme="minorEastAsia" w:hAnsiTheme="minorEastAsia" w:cstheme="minorEastAsia"/>
          <w:b/>
          <w:bCs/>
          <w:sz w:val="21"/>
        </w:rPr>
      </w:pPr>
      <w:r>
        <w:rPr>
          <w:rFonts w:hint="eastAsia" w:asciiTheme="minorEastAsia" w:hAnsiTheme="minorEastAsia" w:cstheme="minorEastAsia"/>
          <w:b/>
          <w:bCs/>
          <w:sz w:val="21"/>
        </w:rPr>
        <w:t>4、知识产权保证</w:t>
      </w:r>
    </w:p>
    <w:p>
      <w:pPr>
        <w:autoSpaceDE w:val="0"/>
        <w:autoSpaceDN w:val="0"/>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乙方保证甲方在使用、接受本合同服务或其任何一部分时，不受第三方提出侵犯其专利权、版权、商标权和工业设计权等知识产权的起诉。一旦出现侵权，由乙方负全部责任。</w:t>
      </w:r>
    </w:p>
    <w:p>
      <w:pPr>
        <w:pStyle w:val="15"/>
        <w:snapToGrid w:val="0"/>
        <w:spacing w:line="360" w:lineRule="auto"/>
        <w:ind w:firstLine="422"/>
        <w:rPr>
          <w:rFonts w:asciiTheme="minorEastAsia" w:hAnsiTheme="minorEastAsia" w:cstheme="minorEastAsia"/>
          <w:b/>
          <w:bCs/>
          <w:sz w:val="21"/>
        </w:rPr>
      </w:pPr>
      <w:r>
        <w:rPr>
          <w:rFonts w:hint="eastAsia" w:asciiTheme="minorEastAsia" w:hAnsiTheme="minorEastAsia" w:cstheme="minorEastAsia"/>
          <w:b/>
          <w:bCs/>
          <w:sz w:val="21"/>
        </w:rPr>
        <w:t>5、产权保证</w:t>
      </w:r>
    </w:p>
    <w:p>
      <w:pPr>
        <w:autoSpaceDE w:val="0"/>
        <w:autoSpaceDN w:val="0"/>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乙方保证所交付的服务和服务所涉及的物品所有权无任何抵押、查封等权利瑕疵。</w:t>
      </w:r>
    </w:p>
    <w:p>
      <w:pPr>
        <w:pStyle w:val="15"/>
        <w:snapToGrid w:val="0"/>
        <w:spacing w:line="360" w:lineRule="auto"/>
        <w:ind w:left="315" w:leftChars="150" w:firstLine="105" w:firstLineChars="50"/>
        <w:rPr>
          <w:rFonts w:asciiTheme="minorEastAsia" w:hAnsiTheme="minorEastAsia" w:cstheme="minorEastAsia"/>
          <w:b/>
          <w:bCs/>
          <w:sz w:val="21"/>
        </w:rPr>
      </w:pPr>
      <w:r>
        <w:rPr>
          <w:rFonts w:asciiTheme="minorEastAsia" w:hAnsiTheme="minorEastAsia" w:cstheme="minorEastAsia"/>
          <w:b/>
          <w:bCs/>
          <w:sz w:val="21"/>
        </w:rPr>
        <w:t>6</w:t>
      </w:r>
      <w:r>
        <w:rPr>
          <w:rFonts w:hint="eastAsia" w:asciiTheme="minorEastAsia" w:hAnsiTheme="minorEastAsia" w:cstheme="minorEastAsia"/>
          <w:b/>
          <w:bCs/>
          <w:sz w:val="21"/>
        </w:rPr>
        <w:t>、转包或分包</w:t>
      </w:r>
    </w:p>
    <w:p>
      <w:pPr>
        <w:pStyle w:val="15"/>
        <w:snapToGrid w:val="0"/>
        <w:spacing w:line="360" w:lineRule="auto"/>
        <w:rPr>
          <w:rFonts w:asciiTheme="minorEastAsia" w:hAnsiTheme="minorEastAsia" w:cstheme="minorEastAsia"/>
          <w:sz w:val="21"/>
        </w:rPr>
      </w:pPr>
      <w:r>
        <w:rPr>
          <w:rFonts w:asciiTheme="minorEastAsia" w:hAnsiTheme="minorEastAsia" w:cstheme="minorEastAsia"/>
          <w:sz w:val="21"/>
        </w:rPr>
        <w:t>6</w:t>
      </w:r>
      <w:r>
        <w:rPr>
          <w:rFonts w:hint="eastAsia" w:asciiTheme="minorEastAsia" w:hAnsiTheme="minorEastAsia" w:cstheme="minorEastAsia"/>
          <w:sz w:val="21"/>
        </w:rPr>
        <w:t>.1 本合同禁止转包，本合同范围的服务，应由乙方直接提供的，不得转让他人提供。</w:t>
      </w:r>
    </w:p>
    <w:p>
      <w:pPr>
        <w:pStyle w:val="15"/>
        <w:snapToGrid w:val="0"/>
        <w:spacing w:line="360" w:lineRule="auto"/>
        <w:rPr>
          <w:rFonts w:asciiTheme="minorEastAsia" w:hAnsiTheme="minorEastAsia" w:cstheme="minorEastAsia"/>
          <w:sz w:val="21"/>
        </w:rPr>
      </w:pPr>
      <w:r>
        <w:rPr>
          <w:rFonts w:asciiTheme="minorEastAsia" w:hAnsiTheme="minorEastAsia" w:cstheme="minorEastAsia"/>
          <w:sz w:val="21"/>
        </w:rPr>
        <w:t>6</w:t>
      </w:r>
      <w:r>
        <w:rPr>
          <w:rFonts w:hint="eastAsia" w:asciiTheme="minorEastAsia" w:hAnsiTheme="minorEastAsia" w:cstheme="minorEastAsia"/>
          <w:sz w:val="21"/>
        </w:rPr>
        <w:t>.2 经甲方同意，乙方可以依法采取分包方式履行合同，但是分包方式履行的，乙方应就采购项目向甲方负全责。</w:t>
      </w:r>
    </w:p>
    <w:p>
      <w:pPr>
        <w:pStyle w:val="15"/>
        <w:snapToGrid w:val="0"/>
        <w:spacing w:line="360" w:lineRule="auto"/>
        <w:ind w:left="315" w:leftChars="150" w:firstLine="105" w:firstLineChars="50"/>
        <w:rPr>
          <w:rFonts w:asciiTheme="minorEastAsia" w:hAnsiTheme="minorEastAsia" w:cstheme="minorEastAsia"/>
          <w:b/>
          <w:bCs/>
          <w:sz w:val="21"/>
        </w:rPr>
      </w:pPr>
      <w:r>
        <w:rPr>
          <w:rFonts w:asciiTheme="minorEastAsia" w:hAnsiTheme="minorEastAsia" w:cstheme="minorEastAsia"/>
          <w:b/>
          <w:bCs/>
          <w:sz w:val="21"/>
        </w:rPr>
        <w:t>7</w:t>
      </w:r>
      <w:r>
        <w:rPr>
          <w:rFonts w:hint="eastAsia" w:asciiTheme="minorEastAsia" w:hAnsiTheme="minorEastAsia" w:cstheme="minorEastAsia"/>
          <w:b/>
          <w:bCs/>
          <w:sz w:val="21"/>
        </w:rPr>
        <w:t>、免费维保期</w:t>
      </w:r>
    </w:p>
    <w:p>
      <w:pPr>
        <w:pStyle w:val="15"/>
        <w:snapToGrid w:val="0"/>
        <w:spacing w:line="360" w:lineRule="auto"/>
        <w:ind w:left="315" w:leftChars="150" w:firstLine="105" w:firstLineChars="50"/>
        <w:rPr>
          <w:rFonts w:asciiTheme="minorEastAsia" w:hAnsiTheme="minorEastAsia" w:cstheme="minorEastAsia"/>
          <w:sz w:val="21"/>
        </w:rPr>
      </w:pPr>
      <w:r>
        <w:rPr>
          <w:rFonts w:asciiTheme="minorEastAsia" w:hAnsiTheme="minorEastAsia" w:cstheme="minorEastAsia"/>
          <w:sz w:val="21"/>
        </w:rPr>
        <w:t>7</w:t>
      </w:r>
      <w:r>
        <w:rPr>
          <w:rFonts w:hint="eastAsia" w:asciiTheme="minorEastAsia" w:hAnsiTheme="minorEastAsia" w:cstheme="minorEastAsia"/>
          <w:sz w:val="21"/>
        </w:rPr>
        <w:t>.1 免费维保期</w:t>
      </w:r>
      <w:r>
        <w:rPr>
          <w:rFonts w:hint="eastAsia" w:asciiTheme="minorEastAsia" w:hAnsiTheme="minorEastAsia" w:cstheme="minorEastAsia"/>
          <w:sz w:val="21"/>
          <w:u w:val="single"/>
        </w:rPr>
        <w:t xml:space="preserve">      </w:t>
      </w:r>
      <w:r>
        <w:rPr>
          <w:rFonts w:hint="eastAsia" w:asciiTheme="minorEastAsia" w:hAnsiTheme="minorEastAsia" w:cstheme="minorEastAsia"/>
          <w:sz w:val="21"/>
        </w:rPr>
        <w:t>年。（自验收合格之日起计）</w:t>
      </w:r>
    </w:p>
    <w:p>
      <w:pPr>
        <w:pStyle w:val="15"/>
        <w:snapToGrid w:val="0"/>
        <w:spacing w:line="360" w:lineRule="auto"/>
        <w:ind w:left="315" w:leftChars="150" w:firstLine="105" w:firstLineChars="50"/>
        <w:rPr>
          <w:rFonts w:asciiTheme="minorEastAsia" w:hAnsiTheme="minorEastAsia" w:cstheme="minorEastAsia"/>
          <w:b/>
          <w:bCs/>
          <w:sz w:val="21"/>
        </w:rPr>
      </w:pPr>
      <w:r>
        <w:rPr>
          <w:rFonts w:asciiTheme="minorEastAsia" w:hAnsiTheme="minorEastAsia" w:cstheme="minorEastAsia"/>
          <w:b/>
          <w:bCs/>
          <w:sz w:val="21"/>
        </w:rPr>
        <w:t>8</w:t>
      </w:r>
      <w:r>
        <w:rPr>
          <w:rFonts w:hint="eastAsia" w:asciiTheme="minorEastAsia" w:hAnsiTheme="minorEastAsia" w:cstheme="minorEastAsia"/>
          <w:b/>
          <w:bCs/>
          <w:sz w:val="21"/>
        </w:rPr>
        <w:t>、交付期、交付方式及交付地点</w:t>
      </w:r>
    </w:p>
    <w:p>
      <w:pPr>
        <w:pStyle w:val="15"/>
        <w:snapToGrid w:val="0"/>
        <w:spacing w:line="360" w:lineRule="auto"/>
        <w:rPr>
          <w:rFonts w:asciiTheme="minorEastAsia" w:hAnsiTheme="minorEastAsia" w:cstheme="minorEastAsia"/>
          <w:bCs/>
          <w:sz w:val="21"/>
        </w:rPr>
      </w:pPr>
      <w:r>
        <w:rPr>
          <w:rFonts w:asciiTheme="minorEastAsia" w:hAnsiTheme="minorEastAsia" w:cstheme="minorEastAsia"/>
          <w:bCs/>
          <w:sz w:val="21"/>
        </w:rPr>
        <w:t>8</w:t>
      </w:r>
      <w:r>
        <w:rPr>
          <w:rFonts w:hint="eastAsia" w:asciiTheme="minorEastAsia" w:hAnsiTheme="minorEastAsia" w:cstheme="minorEastAsia"/>
          <w:bCs/>
          <w:sz w:val="21"/>
        </w:rPr>
        <w:t>.1 交付期：</w:t>
      </w:r>
      <w:r>
        <w:rPr>
          <w:rFonts w:hint="eastAsia" w:asciiTheme="minorEastAsia" w:hAnsiTheme="minorEastAsia" w:cstheme="minorEastAsia"/>
          <w:sz w:val="21"/>
        </w:rPr>
        <w:t>_________</w:t>
      </w:r>
    </w:p>
    <w:p>
      <w:pPr>
        <w:pStyle w:val="15"/>
        <w:snapToGrid w:val="0"/>
        <w:spacing w:line="360" w:lineRule="auto"/>
        <w:rPr>
          <w:rFonts w:asciiTheme="minorEastAsia" w:hAnsiTheme="minorEastAsia" w:cstheme="minorEastAsia"/>
          <w:bCs/>
          <w:sz w:val="21"/>
        </w:rPr>
      </w:pPr>
      <w:r>
        <w:rPr>
          <w:rFonts w:asciiTheme="minorEastAsia" w:hAnsiTheme="minorEastAsia" w:cstheme="minorEastAsia"/>
          <w:bCs/>
          <w:sz w:val="21"/>
        </w:rPr>
        <w:t>8</w:t>
      </w:r>
      <w:r>
        <w:rPr>
          <w:rFonts w:hint="eastAsia" w:asciiTheme="minorEastAsia" w:hAnsiTheme="minorEastAsia" w:cstheme="minorEastAsia"/>
          <w:bCs/>
          <w:sz w:val="21"/>
        </w:rPr>
        <w:t>.2 交付方式：</w:t>
      </w:r>
      <w:r>
        <w:rPr>
          <w:rFonts w:hint="eastAsia" w:asciiTheme="minorEastAsia" w:hAnsiTheme="minorEastAsia" w:cstheme="minorEastAsia"/>
          <w:sz w:val="21"/>
        </w:rPr>
        <w:t>_________</w:t>
      </w:r>
    </w:p>
    <w:p>
      <w:pPr>
        <w:pStyle w:val="15"/>
        <w:snapToGrid w:val="0"/>
        <w:spacing w:line="360" w:lineRule="auto"/>
        <w:rPr>
          <w:rFonts w:asciiTheme="minorEastAsia" w:hAnsiTheme="minorEastAsia" w:cstheme="minorEastAsia"/>
          <w:b/>
          <w:sz w:val="21"/>
        </w:rPr>
      </w:pPr>
      <w:r>
        <w:rPr>
          <w:rFonts w:asciiTheme="minorEastAsia" w:hAnsiTheme="minorEastAsia" w:cstheme="minorEastAsia"/>
          <w:bCs/>
          <w:sz w:val="21"/>
        </w:rPr>
        <w:t>8</w:t>
      </w:r>
      <w:r>
        <w:rPr>
          <w:rFonts w:hint="eastAsia" w:asciiTheme="minorEastAsia" w:hAnsiTheme="minorEastAsia" w:cstheme="minorEastAsia"/>
          <w:bCs/>
          <w:sz w:val="21"/>
        </w:rPr>
        <w:t>.3 交付地点：</w:t>
      </w:r>
      <w:r>
        <w:rPr>
          <w:rFonts w:hint="eastAsia" w:asciiTheme="minorEastAsia" w:hAnsiTheme="minorEastAsia" w:cstheme="minorEastAsia"/>
          <w:sz w:val="21"/>
        </w:rPr>
        <w:t>_________</w:t>
      </w:r>
    </w:p>
    <w:p>
      <w:pPr>
        <w:pStyle w:val="15"/>
        <w:snapToGrid w:val="0"/>
        <w:spacing w:line="360" w:lineRule="auto"/>
        <w:ind w:left="315" w:leftChars="150" w:firstLine="105" w:firstLineChars="50"/>
        <w:rPr>
          <w:rFonts w:asciiTheme="minorEastAsia" w:hAnsiTheme="minorEastAsia" w:cstheme="minorEastAsia"/>
          <w:b/>
          <w:bCs/>
          <w:sz w:val="21"/>
        </w:rPr>
      </w:pPr>
      <w:r>
        <w:rPr>
          <w:rFonts w:asciiTheme="minorEastAsia" w:hAnsiTheme="minorEastAsia" w:cstheme="minorEastAsia"/>
          <w:b/>
          <w:bCs/>
          <w:sz w:val="21"/>
        </w:rPr>
        <w:t>9</w:t>
      </w:r>
      <w:r>
        <w:rPr>
          <w:rFonts w:hint="eastAsia" w:asciiTheme="minorEastAsia" w:hAnsiTheme="minorEastAsia" w:cstheme="minorEastAsia"/>
          <w:b/>
          <w:bCs/>
          <w:sz w:val="21"/>
        </w:rPr>
        <w:t>、货款支付</w:t>
      </w:r>
    </w:p>
    <w:p>
      <w:pPr>
        <w:autoSpaceDE w:val="0"/>
        <w:autoSpaceDN w:val="0"/>
        <w:snapToGrid w:val="0"/>
        <w:spacing w:line="360" w:lineRule="auto"/>
        <w:rPr>
          <w:rFonts w:asciiTheme="minorEastAsia" w:hAnsiTheme="minorEastAsia" w:cstheme="minorEastAsia"/>
          <w:color w:val="000000" w:themeColor="text1"/>
          <w:szCs w:val="21"/>
          <w:highlight w:val="yellow"/>
        </w:rPr>
      </w:pPr>
      <w:r>
        <w:rPr>
          <w:rFonts w:asciiTheme="minorEastAsia" w:hAnsiTheme="minorEastAsia" w:cstheme="minorEastAsia"/>
          <w:color w:val="000000" w:themeColor="text1"/>
          <w:szCs w:val="21"/>
          <w:highlight w:val="yellow"/>
        </w:rPr>
        <w:t>9</w:t>
      </w:r>
      <w:r>
        <w:rPr>
          <w:rFonts w:hint="eastAsia" w:asciiTheme="minorEastAsia" w:hAnsiTheme="minorEastAsia" w:cstheme="minorEastAsia"/>
          <w:color w:val="000000" w:themeColor="text1"/>
          <w:szCs w:val="21"/>
          <w:highlight w:val="yellow"/>
        </w:rPr>
        <w:t xml:space="preserve">.1 本合同项下所有款项均以人民币支付。 </w:t>
      </w:r>
    </w:p>
    <w:p>
      <w:pPr>
        <w:autoSpaceDE w:val="0"/>
        <w:autoSpaceDN w:val="0"/>
        <w:snapToGrid w:val="0"/>
        <w:spacing w:line="360" w:lineRule="auto"/>
        <w:rPr>
          <w:rFonts w:asciiTheme="minorEastAsia" w:hAnsiTheme="minorEastAsia" w:cstheme="minorEastAsia"/>
          <w:color w:val="000000" w:themeColor="text1"/>
          <w:szCs w:val="21"/>
          <w:highlight w:val="yellow"/>
        </w:rPr>
      </w:pPr>
      <w:r>
        <w:rPr>
          <w:rFonts w:asciiTheme="minorEastAsia" w:hAnsiTheme="minorEastAsia" w:cstheme="minorEastAsia"/>
          <w:color w:val="000000" w:themeColor="text1"/>
          <w:szCs w:val="21"/>
          <w:highlight w:val="yellow"/>
        </w:rPr>
        <w:t>9</w:t>
      </w:r>
      <w:r>
        <w:rPr>
          <w:rFonts w:hint="eastAsia" w:asciiTheme="minorEastAsia" w:hAnsiTheme="minorEastAsia" w:cstheme="minorEastAsia"/>
          <w:color w:val="000000" w:themeColor="text1"/>
          <w:szCs w:val="21"/>
          <w:highlight w:val="yellow"/>
        </w:rPr>
        <w:t>.2 本合同项下的采购资金由甲方支付，付款前乙方向甲方开具增值税专用发票，提供硬件、软件销售类的税率为13%，提供服务类的税率为6%。。</w:t>
      </w:r>
    </w:p>
    <w:p>
      <w:pPr>
        <w:snapToGrid w:val="0"/>
        <w:spacing w:line="360" w:lineRule="auto"/>
        <w:rPr>
          <w:rFonts w:asciiTheme="minorEastAsia" w:hAnsiTheme="minorEastAsia" w:cstheme="minorEastAsia"/>
          <w:color w:val="000000" w:themeColor="text1"/>
          <w:szCs w:val="21"/>
          <w:highlight w:val="yellow"/>
        </w:rPr>
      </w:pPr>
      <w:r>
        <w:rPr>
          <w:rFonts w:asciiTheme="minorEastAsia" w:hAnsiTheme="minorEastAsia" w:cstheme="minorEastAsia"/>
          <w:color w:val="000000" w:themeColor="text1"/>
          <w:szCs w:val="21"/>
          <w:highlight w:val="yellow"/>
        </w:rPr>
        <w:t>9</w:t>
      </w:r>
      <w:r>
        <w:rPr>
          <w:rFonts w:hint="eastAsia" w:asciiTheme="minorEastAsia" w:hAnsiTheme="minorEastAsia" w:cstheme="minorEastAsia"/>
          <w:color w:val="000000" w:themeColor="text1"/>
          <w:szCs w:val="21"/>
          <w:highlight w:val="yellow"/>
        </w:rPr>
        <w:t>.3 甲方付款方式：</w:t>
      </w:r>
    </w:p>
    <w:p>
      <w:pPr>
        <w:pStyle w:val="2"/>
        <w:ind w:firstLine="420"/>
        <w:rPr>
          <w:rFonts w:asciiTheme="minorEastAsia" w:hAnsiTheme="minorEastAsia" w:cstheme="minorEastAsia"/>
          <w:color w:val="000000" w:themeColor="text1"/>
          <w:sz w:val="21"/>
          <w:szCs w:val="21"/>
        </w:rPr>
      </w:pPr>
      <w:r>
        <w:rPr>
          <w:rFonts w:hint="eastAsia" w:asciiTheme="minorEastAsia" w:hAnsiTheme="minorEastAsia" w:cstheme="minorEastAsia"/>
          <w:color w:val="000000" w:themeColor="text1"/>
          <w:sz w:val="21"/>
          <w:szCs w:val="21"/>
          <w:highlight w:val="yellow"/>
        </w:rPr>
        <w:t>第一次：根据招标文件中的技术要求，乙方完成机具设备供货，并完成系统开通试运行，</w:t>
      </w:r>
      <w:r>
        <w:rPr>
          <w:rFonts w:asciiTheme="minorEastAsia" w:hAnsiTheme="minorEastAsia" w:cstheme="minorEastAsia"/>
          <w:color w:val="000000" w:themeColor="text1"/>
          <w:sz w:val="21"/>
          <w:szCs w:val="21"/>
          <w:highlight w:val="yellow"/>
        </w:rPr>
        <w:t>设备上架</w:t>
      </w:r>
      <w:r>
        <w:rPr>
          <w:rFonts w:hint="eastAsia" w:asciiTheme="minorEastAsia" w:hAnsiTheme="minorEastAsia" w:cstheme="minorEastAsia"/>
          <w:color w:val="000000" w:themeColor="text1"/>
          <w:sz w:val="21"/>
          <w:szCs w:val="21"/>
          <w:highlight w:val="yellow"/>
        </w:rPr>
        <w:t>。1</w:t>
      </w:r>
      <w:r>
        <w:rPr>
          <w:rFonts w:asciiTheme="minorEastAsia" w:hAnsiTheme="minorEastAsia" w:cstheme="minorEastAsia"/>
          <w:color w:val="000000" w:themeColor="text1"/>
          <w:sz w:val="21"/>
          <w:szCs w:val="21"/>
          <w:highlight w:val="yellow"/>
        </w:rPr>
        <w:t>0</w:t>
      </w:r>
      <w:r>
        <w:rPr>
          <w:rFonts w:hint="eastAsia" w:asciiTheme="minorEastAsia" w:hAnsiTheme="minorEastAsia" w:cstheme="minorEastAsia"/>
          <w:color w:val="000000" w:themeColor="text1"/>
          <w:sz w:val="21"/>
          <w:szCs w:val="21"/>
          <w:highlight w:val="yellow"/>
        </w:rPr>
        <w:t>个</w:t>
      </w:r>
      <w:r>
        <w:rPr>
          <w:rFonts w:asciiTheme="minorEastAsia" w:hAnsiTheme="minorEastAsia" w:cstheme="minorEastAsia"/>
          <w:color w:val="000000" w:themeColor="text1"/>
          <w:sz w:val="21"/>
          <w:szCs w:val="21"/>
          <w:highlight w:val="yellow"/>
        </w:rPr>
        <w:t>工作日内甲方进行验收</w:t>
      </w:r>
      <w:r>
        <w:rPr>
          <w:rFonts w:hint="eastAsia" w:asciiTheme="minorEastAsia" w:hAnsiTheme="minorEastAsia" w:cstheme="minorEastAsia"/>
          <w:color w:val="000000" w:themeColor="text1"/>
          <w:sz w:val="21"/>
          <w:szCs w:val="21"/>
          <w:highlight w:val="yellow"/>
        </w:rPr>
        <w:t>项目</w:t>
      </w:r>
      <w:r>
        <w:rPr>
          <w:rFonts w:asciiTheme="minorEastAsia" w:hAnsiTheme="minorEastAsia" w:cstheme="minorEastAsia"/>
          <w:color w:val="000000" w:themeColor="text1"/>
          <w:sz w:val="21"/>
          <w:szCs w:val="21"/>
          <w:highlight w:val="yellow"/>
        </w:rPr>
        <w:t>，</w:t>
      </w:r>
      <w:r>
        <w:rPr>
          <w:rFonts w:hint="eastAsia" w:asciiTheme="minorEastAsia" w:hAnsiTheme="minorEastAsia" w:cstheme="minorEastAsia"/>
          <w:color w:val="000000" w:themeColor="text1"/>
          <w:sz w:val="21"/>
          <w:szCs w:val="21"/>
          <w:highlight w:val="yellow"/>
        </w:rPr>
        <w:t>验收</w:t>
      </w:r>
      <w:r>
        <w:rPr>
          <w:rFonts w:asciiTheme="minorEastAsia" w:hAnsiTheme="minorEastAsia" w:cstheme="minorEastAsia"/>
          <w:color w:val="000000" w:themeColor="text1"/>
          <w:sz w:val="21"/>
          <w:szCs w:val="21"/>
          <w:highlight w:val="yellow"/>
        </w:rPr>
        <w:t>完成10</w:t>
      </w:r>
      <w:r>
        <w:rPr>
          <w:rFonts w:hint="eastAsia" w:asciiTheme="minorEastAsia" w:hAnsiTheme="minorEastAsia" w:cstheme="minorEastAsia"/>
          <w:color w:val="000000" w:themeColor="text1"/>
          <w:sz w:val="21"/>
          <w:szCs w:val="21"/>
          <w:highlight w:val="yellow"/>
        </w:rPr>
        <w:t>个</w:t>
      </w:r>
      <w:r>
        <w:rPr>
          <w:rFonts w:asciiTheme="minorEastAsia" w:hAnsiTheme="minorEastAsia" w:cstheme="minorEastAsia"/>
          <w:color w:val="000000" w:themeColor="text1"/>
          <w:sz w:val="21"/>
          <w:szCs w:val="21"/>
          <w:highlight w:val="yellow"/>
        </w:rPr>
        <w:t>工作日内乙方提供</w:t>
      </w:r>
      <w:r>
        <w:rPr>
          <w:rFonts w:hint="eastAsia" w:asciiTheme="minorEastAsia" w:hAnsiTheme="minorEastAsia" w:cstheme="minorEastAsia"/>
          <w:color w:val="000000" w:themeColor="text1"/>
          <w:sz w:val="21"/>
          <w:szCs w:val="21"/>
          <w:highlight w:val="yellow"/>
        </w:rPr>
        <w:t>符合税法规定且为合同总价（含税价）95%的增值税专用发票</w:t>
      </w:r>
      <w:r>
        <w:rPr>
          <w:rFonts w:asciiTheme="minorEastAsia" w:hAnsiTheme="minorEastAsia" w:cstheme="minorEastAsia"/>
          <w:color w:val="000000" w:themeColor="text1"/>
          <w:sz w:val="21"/>
          <w:szCs w:val="21"/>
          <w:highlight w:val="yellow"/>
        </w:rPr>
        <w:t>，甲方在10</w:t>
      </w:r>
      <w:r>
        <w:rPr>
          <w:rFonts w:hint="eastAsia" w:asciiTheme="minorEastAsia" w:hAnsiTheme="minorEastAsia" w:cstheme="minorEastAsia"/>
          <w:color w:val="000000" w:themeColor="text1"/>
          <w:sz w:val="21"/>
          <w:szCs w:val="21"/>
          <w:highlight w:val="yellow"/>
        </w:rPr>
        <w:t>个</w:t>
      </w:r>
      <w:r>
        <w:rPr>
          <w:rFonts w:asciiTheme="minorEastAsia" w:hAnsiTheme="minorEastAsia" w:cstheme="minorEastAsia"/>
          <w:color w:val="000000" w:themeColor="text1"/>
          <w:sz w:val="21"/>
          <w:szCs w:val="21"/>
          <w:highlight w:val="yellow"/>
        </w:rPr>
        <w:t>工作日内支付</w:t>
      </w:r>
      <w:r>
        <w:rPr>
          <w:rFonts w:hint="eastAsia" w:asciiTheme="minorEastAsia" w:hAnsiTheme="minorEastAsia" w:cstheme="minorEastAsia"/>
          <w:color w:val="000000" w:themeColor="text1"/>
          <w:sz w:val="21"/>
          <w:szCs w:val="21"/>
          <w:highlight w:val="yellow"/>
        </w:rPr>
        <w:t>合同总价（含税价）的9</w:t>
      </w:r>
      <w:r>
        <w:rPr>
          <w:rFonts w:asciiTheme="minorEastAsia" w:hAnsiTheme="minorEastAsia" w:cstheme="minorEastAsia"/>
          <w:color w:val="000000" w:themeColor="text1"/>
          <w:sz w:val="21"/>
          <w:szCs w:val="21"/>
          <w:highlight w:val="yellow"/>
        </w:rPr>
        <w:t>5</w:t>
      </w:r>
      <w:r>
        <w:rPr>
          <w:rFonts w:hint="eastAsia" w:asciiTheme="minorEastAsia" w:hAnsiTheme="minorEastAsia" w:cstheme="minorEastAsia"/>
          <w:color w:val="000000" w:themeColor="text1"/>
          <w:sz w:val="21"/>
          <w:szCs w:val="21"/>
          <w:highlight w:val="yellow"/>
        </w:rPr>
        <w:t>%；否则甲方有权延迟支付相应费用而不视为违约，亦无须承担任何违约责任；</w:t>
      </w:r>
    </w:p>
    <w:p>
      <w:pPr>
        <w:pStyle w:val="2"/>
        <w:ind w:firstLine="420"/>
        <w:rPr>
          <w:rFonts w:asciiTheme="minorEastAsia" w:hAnsiTheme="minorEastAsia" w:cstheme="minorEastAsia"/>
          <w:color w:val="000000" w:themeColor="text1"/>
          <w:sz w:val="21"/>
          <w:szCs w:val="21"/>
          <w:highlight w:val="yellow"/>
        </w:rPr>
      </w:pPr>
      <w:r>
        <w:rPr>
          <w:rFonts w:hint="eastAsia" w:asciiTheme="minorEastAsia" w:hAnsiTheme="minorEastAsia" w:cstheme="minorEastAsia"/>
          <w:color w:val="000000" w:themeColor="text1"/>
          <w:sz w:val="21"/>
          <w:szCs w:val="21"/>
          <w:highlight w:val="yellow"/>
        </w:rPr>
        <w:t>第二次：项目</w:t>
      </w:r>
      <w:r>
        <w:rPr>
          <w:rFonts w:asciiTheme="minorEastAsia" w:hAnsiTheme="minorEastAsia" w:cstheme="minorEastAsia"/>
          <w:color w:val="000000" w:themeColor="text1"/>
          <w:sz w:val="21"/>
          <w:szCs w:val="21"/>
          <w:highlight w:val="yellow"/>
        </w:rPr>
        <w:t>验收满一年后</w:t>
      </w:r>
      <w:r>
        <w:rPr>
          <w:rFonts w:hint="eastAsia" w:asciiTheme="minorEastAsia" w:hAnsiTheme="minorEastAsia" w:cstheme="minorEastAsia"/>
          <w:color w:val="000000" w:themeColor="text1"/>
          <w:sz w:val="21"/>
          <w:szCs w:val="21"/>
          <w:highlight w:val="yellow"/>
        </w:rPr>
        <w:t>，收到发票后（发票要求同上）甲方向乙方支付合同总价5%的款项。</w:t>
      </w:r>
    </w:p>
    <w:p>
      <w:pPr>
        <w:pStyle w:val="15"/>
        <w:snapToGrid w:val="0"/>
        <w:spacing w:line="360" w:lineRule="auto"/>
        <w:ind w:left="315" w:leftChars="150" w:firstLine="105" w:firstLineChars="50"/>
        <w:rPr>
          <w:rFonts w:asciiTheme="minorEastAsia" w:hAnsiTheme="minorEastAsia" w:cstheme="minorEastAsia"/>
          <w:b/>
          <w:bCs/>
          <w:sz w:val="21"/>
        </w:rPr>
      </w:pPr>
      <w:r>
        <w:rPr>
          <w:rFonts w:hint="eastAsia" w:asciiTheme="minorEastAsia" w:hAnsiTheme="minorEastAsia" w:cstheme="minorEastAsia"/>
          <w:b/>
          <w:bCs/>
          <w:sz w:val="21"/>
        </w:rPr>
        <w:t>1</w:t>
      </w:r>
      <w:r>
        <w:rPr>
          <w:rFonts w:asciiTheme="minorEastAsia" w:hAnsiTheme="minorEastAsia" w:cstheme="minorEastAsia"/>
          <w:b/>
          <w:bCs/>
          <w:sz w:val="21"/>
        </w:rPr>
        <w:t>0</w:t>
      </w:r>
      <w:r>
        <w:rPr>
          <w:rFonts w:hint="eastAsia" w:asciiTheme="minorEastAsia" w:hAnsiTheme="minorEastAsia" w:cstheme="minorEastAsia"/>
          <w:b/>
          <w:bCs/>
          <w:sz w:val="21"/>
        </w:rPr>
        <w:t>、税费</w:t>
      </w:r>
    </w:p>
    <w:p>
      <w:pPr>
        <w:pStyle w:val="15"/>
        <w:snapToGrid w:val="0"/>
        <w:spacing w:line="360" w:lineRule="auto"/>
        <w:rPr>
          <w:rFonts w:asciiTheme="minorEastAsia" w:hAnsiTheme="minorEastAsia" w:cstheme="minorEastAsia"/>
          <w:b/>
          <w:bCs/>
          <w:sz w:val="21"/>
        </w:rPr>
      </w:pPr>
      <w:r>
        <w:rPr>
          <w:rFonts w:hint="eastAsia" w:asciiTheme="minorEastAsia" w:hAnsiTheme="minorEastAsia" w:cstheme="minorEastAsia"/>
          <w:sz w:val="21"/>
        </w:rPr>
        <w:t>本合同执行中相关的一切税费均由乙方负担。</w:t>
      </w:r>
    </w:p>
    <w:p>
      <w:pPr>
        <w:pStyle w:val="15"/>
        <w:snapToGrid w:val="0"/>
        <w:spacing w:line="360" w:lineRule="auto"/>
        <w:ind w:left="315" w:leftChars="150" w:firstLine="105" w:firstLineChars="50"/>
        <w:rPr>
          <w:rFonts w:asciiTheme="minorEastAsia" w:hAnsiTheme="minorEastAsia" w:cstheme="minorEastAsia"/>
          <w:b/>
          <w:bCs/>
          <w:sz w:val="21"/>
        </w:rPr>
      </w:pPr>
      <w:r>
        <w:rPr>
          <w:rFonts w:hint="eastAsia" w:asciiTheme="minorEastAsia" w:hAnsiTheme="minorEastAsia" w:cstheme="minorEastAsia"/>
          <w:b/>
          <w:bCs/>
          <w:sz w:val="21"/>
        </w:rPr>
        <w:t>1</w:t>
      </w:r>
      <w:r>
        <w:rPr>
          <w:rFonts w:asciiTheme="minorEastAsia" w:hAnsiTheme="minorEastAsia" w:cstheme="minorEastAsia"/>
          <w:b/>
          <w:bCs/>
          <w:sz w:val="21"/>
        </w:rPr>
        <w:t>1</w:t>
      </w:r>
      <w:r>
        <w:rPr>
          <w:rFonts w:hint="eastAsia" w:asciiTheme="minorEastAsia" w:hAnsiTheme="minorEastAsia" w:cstheme="minorEastAsia"/>
          <w:b/>
          <w:bCs/>
          <w:sz w:val="21"/>
        </w:rPr>
        <w:t>、质量保证及售后服务</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w:t>
      </w:r>
      <w:r>
        <w:rPr>
          <w:rFonts w:asciiTheme="minorEastAsia" w:hAnsiTheme="minorEastAsia" w:cstheme="minorEastAsia"/>
          <w:szCs w:val="21"/>
        </w:rPr>
        <w:t>1</w:t>
      </w:r>
      <w:r>
        <w:rPr>
          <w:rFonts w:hint="eastAsia" w:asciiTheme="minorEastAsia" w:hAnsiTheme="minorEastAsia" w:cstheme="minorEastAsia"/>
          <w:szCs w:val="21"/>
        </w:rPr>
        <w:t>.1 乙方应按招标文件规定及响应文件承诺的技术性能、技术要求、质量标准向甲方提供服务；若无特殊说明，则按国家有关部门最新颁布的标准及规范为准。</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w:t>
      </w:r>
      <w:r>
        <w:rPr>
          <w:rFonts w:asciiTheme="minorEastAsia" w:hAnsiTheme="minorEastAsia" w:cstheme="minorEastAsia"/>
          <w:szCs w:val="21"/>
        </w:rPr>
        <w:t>1</w:t>
      </w:r>
      <w:r>
        <w:rPr>
          <w:rFonts w:hint="eastAsia" w:asciiTheme="minorEastAsia" w:hAnsiTheme="minorEastAsia" w:cstheme="minorEastAsia"/>
          <w:szCs w:val="21"/>
        </w:rPr>
        <w:t>.2乙方应保证其提供的服务是全面和规范的，并完全符合招投标文件。如因乙方提供的服务有瑕疵造成甲方损失的，所需费用由乙方承担。</w:t>
      </w:r>
    </w:p>
    <w:p>
      <w:pPr>
        <w:snapToGrid w:val="0"/>
        <w:spacing w:line="360" w:lineRule="auto"/>
        <w:rPr>
          <w:rFonts w:asciiTheme="minorEastAsia" w:hAnsiTheme="minorEastAsia" w:cstheme="minorEastAsia"/>
          <w:color w:val="FF0000"/>
          <w:szCs w:val="21"/>
        </w:rPr>
      </w:pPr>
      <w:r>
        <w:rPr>
          <w:rFonts w:hint="eastAsia" w:asciiTheme="minorEastAsia" w:hAnsiTheme="minorEastAsia" w:cstheme="minorEastAsia"/>
          <w:szCs w:val="21"/>
        </w:rPr>
        <w:t>1</w:t>
      </w:r>
      <w:r>
        <w:rPr>
          <w:rFonts w:asciiTheme="minorEastAsia" w:hAnsiTheme="minorEastAsia" w:cstheme="minorEastAsia"/>
          <w:szCs w:val="21"/>
        </w:rPr>
        <w:t>1</w:t>
      </w:r>
      <w:r>
        <w:rPr>
          <w:rFonts w:hint="eastAsia" w:asciiTheme="minorEastAsia" w:hAnsiTheme="minorEastAsia" w:cstheme="minorEastAsia"/>
          <w:szCs w:val="21"/>
        </w:rPr>
        <w:t xml:space="preserve">.3 </w:t>
      </w:r>
      <w:r>
        <w:rPr>
          <w:rFonts w:hint="eastAsia" w:asciiTheme="minorEastAsia" w:hAnsiTheme="minorEastAsia" w:cstheme="minorEastAsia"/>
          <w:szCs w:val="21"/>
          <w:highlight w:val="yellow"/>
        </w:rPr>
        <w:t>如在使用过程中发生</w:t>
      </w:r>
      <w:r>
        <w:rPr>
          <w:rFonts w:asciiTheme="minorEastAsia" w:hAnsiTheme="minorEastAsia" w:cstheme="minorEastAsia"/>
          <w:szCs w:val="21"/>
          <w:highlight w:val="yellow"/>
        </w:rPr>
        <w:t>设备故障</w:t>
      </w:r>
      <w:r>
        <w:rPr>
          <w:rFonts w:hint="eastAsia" w:asciiTheme="minorEastAsia" w:hAnsiTheme="minorEastAsia" w:cstheme="minorEastAsia"/>
          <w:szCs w:val="21"/>
          <w:highlight w:val="yellow"/>
        </w:rPr>
        <w:t>，乙方在接到甲方通知后</w:t>
      </w:r>
      <w:r>
        <w:rPr>
          <w:rFonts w:asciiTheme="minorEastAsia" w:hAnsiTheme="minorEastAsia" w:cstheme="minorEastAsia"/>
          <w:szCs w:val="21"/>
          <w:highlight w:val="yellow"/>
        </w:rPr>
        <w:t>，2</w:t>
      </w:r>
      <w:r>
        <w:rPr>
          <w:rFonts w:hint="eastAsia" w:asciiTheme="minorEastAsia" w:hAnsiTheme="minorEastAsia" w:cstheme="minorEastAsia"/>
          <w:szCs w:val="21"/>
          <w:highlight w:val="yellow"/>
        </w:rPr>
        <w:t>小时</w:t>
      </w:r>
      <w:r>
        <w:rPr>
          <w:rFonts w:asciiTheme="minorEastAsia" w:hAnsiTheme="minorEastAsia" w:cstheme="minorEastAsia"/>
          <w:szCs w:val="21"/>
          <w:highlight w:val="yellow"/>
        </w:rPr>
        <w:t>内进行故障排查，</w:t>
      </w:r>
      <w:r>
        <w:rPr>
          <w:rFonts w:hint="eastAsia" w:asciiTheme="minorEastAsia" w:hAnsiTheme="minorEastAsia" w:cstheme="minorEastAsia"/>
          <w:szCs w:val="21"/>
          <w:highlight w:val="yellow"/>
        </w:rPr>
        <w:t>根据</w:t>
      </w:r>
      <w:r>
        <w:rPr>
          <w:rFonts w:asciiTheme="minorEastAsia" w:hAnsiTheme="minorEastAsia" w:cstheme="minorEastAsia"/>
          <w:szCs w:val="21"/>
          <w:highlight w:val="yellow"/>
        </w:rPr>
        <w:t>故障问题需要现场解决的，</w:t>
      </w:r>
      <w:r>
        <w:rPr>
          <w:rFonts w:hint="eastAsia" w:asciiTheme="minorEastAsia" w:hAnsiTheme="minorEastAsia" w:cstheme="minorEastAsia"/>
          <w:szCs w:val="21"/>
          <w:highlight w:val="yellow"/>
        </w:rPr>
        <w:t>在1</w:t>
      </w:r>
      <w:r>
        <w:rPr>
          <w:rFonts w:asciiTheme="minorEastAsia" w:hAnsiTheme="minorEastAsia" w:cstheme="minorEastAsia"/>
          <w:szCs w:val="21"/>
          <w:highlight w:val="yellow"/>
        </w:rPr>
        <w:t>个工作日</w:t>
      </w:r>
      <w:r>
        <w:rPr>
          <w:rFonts w:hint="eastAsia" w:asciiTheme="minorEastAsia" w:hAnsiTheme="minorEastAsia" w:cstheme="minorEastAsia"/>
          <w:szCs w:val="21"/>
          <w:highlight w:val="yellow"/>
        </w:rPr>
        <w:t>内到达甲方现场。</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w:t>
      </w:r>
      <w:r>
        <w:rPr>
          <w:rFonts w:asciiTheme="minorEastAsia" w:hAnsiTheme="minorEastAsia" w:cstheme="minorEastAsia"/>
          <w:szCs w:val="21"/>
        </w:rPr>
        <w:t>1</w:t>
      </w:r>
      <w:r>
        <w:rPr>
          <w:rFonts w:hint="eastAsia" w:asciiTheme="minorEastAsia" w:hAnsiTheme="minorEastAsia" w:cstheme="minorEastAsia"/>
          <w:szCs w:val="21"/>
        </w:rPr>
        <w:t>.4 免费维保期内，乙方应对所提供服务出现的质量及安全问题负责处理解决并承担一切费用。</w:t>
      </w:r>
    </w:p>
    <w:p>
      <w:pPr>
        <w:pStyle w:val="15"/>
        <w:snapToGrid w:val="0"/>
        <w:spacing w:line="360" w:lineRule="auto"/>
        <w:ind w:left="315" w:leftChars="150" w:firstLine="105" w:firstLineChars="50"/>
        <w:rPr>
          <w:rFonts w:asciiTheme="minorEastAsia" w:hAnsiTheme="minorEastAsia" w:cstheme="minorEastAsia"/>
          <w:b/>
          <w:bCs/>
          <w:sz w:val="21"/>
        </w:rPr>
      </w:pPr>
      <w:r>
        <w:rPr>
          <w:rFonts w:hint="eastAsia" w:asciiTheme="minorEastAsia" w:hAnsiTheme="minorEastAsia" w:cstheme="minorEastAsia"/>
          <w:b/>
          <w:bCs/>
          <w:sz w:val="21"/>
        </w:rPr>
        <w:t>1</w:t>
      </w:r>
      <w:r>
        <w:rPr>
          <w:rFonts w:asciiTheme="minorEastAsia" w:hAnsiTheme="minorEastAsia" w:cstheme="minorEastAsia"/>
          <w:b/>
          <w:bCs/>
          <w:sz w:val="21"/>
        </w:rPr>
        <w:t>2</w:t>
      </w:r>
      <w:r>
        <w:rPr>
          <w:rFonts w:hint="eastAsia" w:asciiTheme="minorEastAsia" w:hAnsiTheme="minorEastAsia" w:cstheme="minorEastAsia"/>
          <w:b/>
          <w:bCs/>
          <w:sz w:val="21"/>
        </w:rPr>
        <w:t>、交付和验收</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w:t>
      </w:r>
      <w:r>
        <w:rPr>
          <w:rFonts w:asciiTheme="minorEastAsia" w:hAnsiTheme="minorEastAsia" w:cstheme="minorEastAsia"/>
          <w:szCs w:val="21"/>
        </w:rPr>
        <w:t>2</w:t>
      </w:r>
      <w:r>
        <w:rPr>
          <w:rFonts w:hint="eastAsia" w:asciiTheme="minorEastAsia" w:hAnsiTheme="minorEastAsia" w:cstheme="minorEastAsia"/>
          <w:szCs w:val="21"/>
        </w:rPr>
        <w:t>.1 乙方应当在合同签订后，按照招标文件要求提供项目</w:t>
      </w:r>
      <w:r>
        <w:rPr>
          <w:rFonts w:asciiTheme="minorEastAsia" w:hAnsiTheme="minorEastAsia" w:cstheme="minorEastAsia"/>
          <w:szCs w:val="21"/>
        </w:rPr>
        <w:t>服务人员</w:t>
      </w:r>
      <w:r>
        <w:rPr>
          <w:rFonts w:hint="eastAsia" w:asciiTheme="minorEastAsia" w:hAnsiTheme="minorEastAsia" w:cstheme="minorEastAsia"/>
          <w:szCs w:val="21"/>
        </w:rPr>
        <w:t>和</w:t>
      </w:r>
      <w:r>
        <w:rPr>
          <w:rFonts w:asciiTheme="minorEastAsia" w:hAnsiTheme="minorEastAsia" w:cstheme="minorEastAsia"/>
          <w:szCs w:val="21"/>
        </w:rPr>
        <w:t>相关服务工具</w:t>
      </w:r>
      <w:r>
        <w:rPr>
          <w:rFonts w:hint="eastAsia" w:asciiTheme="minorEastAsia" w:hAnsiTheme="minorEastAsia" w:cstheme="minorEastAsia"/>
          <w:szCs w:val="21"/>
        </w:rPr>
        <w:t>，开始进行服务交付</w:t>
      </w:r>
      <w:r>
        <w:rPr>
          <w:rFonts w:asciiTheme="minorEastAsia" w:hAnsiTheme="minorEastAsia" w:cstheme="minorEastAsia"/>
          <w:szCs w:val="21"/>
        </w:rPr>
        <w:t>，</w:t>
      </w:r>
      <w:r>
        <w:rPr>
          <w:rFonts w:hint="eastAsia" w:asciiTheme="minorEastAsia" w:hAnsiTheme="minorEastAsia" w:cstheme="minorEastAsia"/>
          <w:szCs w:val="21"/>
        </w:rPr>
        <w:t>乙方须</w:t>
      </w:r>
      <w:r>
        <w:rPr>
          <w:rFonts w:asciiTheme="minorEastAsia" w:hAnsiTheme="minorEastAsia" w:cstheme="minorEastAsia"/>
          <w:szCs w:val="21"/>
        </w:rPr>
        <w:t>按照招标文件要求，</w:t>
      </w:r>
      <w:r>
        <w:rPr>
          <w:rFonts w:hint="eastAsia" w:asciiTheme="minorEastAsia" w:hAnsiTheme="minorEastAsia" w:cstheme="minorEastAsia"/>
          <w:szCs w:val="21"/>
        </w:rPr>
        <w:t>提供</w:t>
      </w:r>
      <w:r>
        <w:rPr>
          <w:rFonts w:asciiTheme="minorEastAsia" w:hAnsiTheme="minorEastAsia" w:cstheme="minorEastAsia"/>
          <w:szCs w:val="21"/>
        </w:rPr>
        <w:t>所有招标文件内要求的</w:t>
      </w:r>
      <w:r>
        <w:rPr>
          <w:rFonts w:hint="eastAsia" w:asciiTheme="minorEastAsia" w:hAnsiTheme="minorEastAsia" w:cstheme="minorEastAsia"/>
          <w:szCs w:val="21"/>
        </w:rPr>
        <w:t>服务交付</w:t>
      </w:r>
      <w:r>
        <w:rPr>
          <w:rFonts w:asciiTheme="minorEastAsia" w:hAnsiTheme="minorEastAsia" w:cstheme="minorEastAsia"/>
          <w:szCs w:val="21"/>
        </w:rPr>
        <w:t>成果，</w:t>
      </w:r>
      <w:r>
        <w:rPr>
          <w:rFonts w:hint="eastAsia" w:asciiTheme="minorEastAsia" w:hAnsiTheme="minorEastAsia" w:cstheme="minorEastAsia"/>
          <w:szCs w:val="21"/>
        </w:rPr>
        <w:t>甲方须在</w:t>
      </w:r>
      <w:r>
        <w:rPr>
          <w:rFonts w:hint="eastAsia" w:asciiTheme="minorEastAsia" w:hAnsiTheme="minorEastAsia" w:cstheme="minorEastAsia"/>
          <w:szCs w:val="21"/>
          <w:u w:val="single"/>
        </w:rPr>
        <w:t xml:space="preserve"> 1</w:t>
      </w:r>
      <w:r>
        <w:rPr>
          <w:rFonts w:asciiTheme="minorEastAsia" w:hAnsiTheme="minorEastAsia" w:cstheme="minorEastAsia"/>
          <w:szCs w:val="21"/>
          <w:u w:val="single"/>
        </w:rPr>
        <w:t>0</w:t>
      </w:r>
      <w:r>
        <w:rPr>
          <w:rFonts w:hint="eastAsia" w:asciiTheme="minorEastAsia" w:hAnsiTheme="minorEastAsia" w:cstheme="minorEastAsia"/>
          <w:szCs w:val="21"/>
        </w:rPr>
        <w:t>工作日之</w:t>
      </w:r>
      <w:r>
        <w:rPr>
          <w:rFonts w:asciiTheme="minorEastAsia" w:hAnsiTheme="minorEastAsia" w:cstheme="minorEastAsia"/>
          <w:szCs w:val="21"/>
        </w:rPr>
        <w:t>内</w:t>
      </w:r>
      <w:r>
        <w:rPr>
          <w:rFonts w:hint="eastAsia" w:asciiTheme="minorEastAsia" w:hAnsiTheme="minorEastAsia" w:cstheme="minorEastAsia"/>
          <w:szCs w:val="21"/>
        </w:rPr>
        <w:t>做最终验收。</w:t>
      </w:r>
    </w:p>
    <w:p>
      <w:pPr>
        <w:snapToGrid w:val="0"/>
        <w:spacing w:line="360" w:lineRule="auto"/>
        <w:rPr>
          <w:rFonts w:asciiTheme="minorEastAsia" w:hAnsiTheme="minorEastAsia" w:cstheme="minorEastAsia"/>
          <w:szCs w:val="21"/>
        </w:rPr>
      </w:pPr>
      <w:r>
        <w:rPr>
          <w:rFonts w:asciiTheme="minorEastAsia" w:hAnsiTheme="minorEastAsia" w:cstheme="minorEastAsia"/>
          <w:szCs w:val="21"/>
        </w:rPr>
        <w:t>12.2</w:t>
      </w:r>
      <w:r>
        <w:rPr>
          <w:rFonts w:hint="eastAsia" w:asciiTheme="minorEastAsia" w:hAnsiTheme="minorEastAsia" w:cstheme="minorEastAsia"/>
          <w:szCs w:val="21"/>
        </w:rPr>
        <w:t>在验收前，乙方应作出全面检查和对验收文件进行整理，并列出清单，作为甲方初验收和使用的技术条件依据，检验的结果交甲方。</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w:t>
      </w:r>
      <w:r>
        <w:rPr>
          <w:rFonts w:asciiTheme="minorEastAsia" w:hAnsiTheme="minorEastAsia" w:cstheme="minorEastAsia"/>
          <w:szCs w:val="21"/>
        </w:rPr>
        <w:t>2</w:t>
      </w:r>
      <w:r>
        <w:rPr>
          <w:rFonts w:hint="eastAsia" w:asciiTheme="minorEastAsia" w:hAnsiTheme="minorEastAsia" w:cstheme="minorEastAsia"/>
          <w:szCs w:val="21"/>
        </w:rPr>
        <w:t>.3 验收标准：按乙方投标文件的承诺，并不低于国家相关标准。</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w:t>
      </w:r>
      <w:r>
        <w:rPr>
          <w:rFonts w:asciiTheme="minorEastAsia" w:hAnsiTheme="minorEastAsia" w:cstheme="minorEastAsia"/>
          <w:szCs w:val="21"/>
        </w:rPr>
        <w:t>2</w:t>
      </w:r>
      <w:r>
        <w:rPr>
          <w:rFonts w:hint="eastAsia" w:asciiTheme="minorEastAsia" w:hAnsiTheme="minorEastAsia" w:cstheme="minorEastAsia"/>
          <w:szCs w:val="21"/>
        </w:rPr>
        <w:t>.4对技术复杂的服务内容，甲方可请国家认可的专业检测机构参与初步验收及最终验收，并由其出具专业</w:t>
      </w:r>
      <w:r>
        <w:rPr>
          <w:rFonts w:asciiTheme="minorEastAsia" w:hAnsiTheme="minorEastAsia" w:cstheme="minorEastAsia"/>
          <w:szCs w:val="21"/>
        </w:rPr>
        <w:t>的</w:t>
      </w:r>
      <w:r>
        <w:rPr>
          <w:rFonts w:hint="eastAsia" w:asciiTheme="minorEastAsia" w:hAnsiTheme="minorEastAsia" w:cstheme="minorEastAsia"/>
          <w:szCs w:val="21"/>
        </w:rPr>
        <w:t>报告。验收时乙方必须在现场，验收完毕后作出验收结果报告；若聘请第三方中立机构验收，验收费用由甲乙双方协商解决。</w:t>
      </w:r>
    </w:p>
    <w:p>
      <w:pPr>
        <w:snapToGrid w:val="0"/>
        <w:spacing w:line="360" w:lineRule="auto"/>
        <w:rPr>
          <w:rFonts w:asciiTheme="minorEastAsia" w:hAnsiTheme="minorEastAsia" w:cstheme="minorEastAsia"/>
          <w:szCs w:val="21"/>
          <w:u w:val="single"/>
        </w:rPr>
      </w:pPr>
      <w:r>
        <w:rPr>
          <w:rFonts w:hint="eastAsia" w:asciiTheme="minorEastAsia" w:hAnsiTheme="minorEastAsia" w:cstheme="minorEastAsia"/>
          <w:szCs w:val="21"/>
        </w:rPr>
        <w:t>1</w:t>
      </w:r>
      <w:r>
        <w:rPr>
          <w:rFonts w:asciiTheme="minorEastAsia" w:hAnsiTheme="minorEastAsia" w:cstheme="minorEastAsia"/>
          <w:szCs w:val="21"/>
        </w:rPr>
        <w:t>2</w:t>
      </w:r>
      <w:r>
        <w:rPr>
          <w:rFonts w:hint="eastAsia" w:asciiTheme="minorEastAsia" w:hAnsiTheme="minorEastAsia" w:cstheme="minorEastAsia"/>
          <w:szCs w:val="21"/>
        </w:rPr>
        <w:t>.5 甲乙双方关于验收的其他约定：</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w:t>
      </w:r>
    </w:p>
    <w:p>
      <w:pPr>
        <w:pStyle w:val="15"/>
        <w:snapToGrid w:val="0"/>
        <w:spacing w:line="360" w:lineRule="auto"/>
        <w:ind w:left="315" w:leftChars="150" w:firstLine="105" w:firstLineChars="50"/>
        <w:rPr>
          <w:rFonts w:asciiTheme="minorEastAsia" w:hAnsiTheme="minorEastAsia" w:cstheme="minorEastAsia"/>
          <w:b/>
          <w:bCs/>
          <w:sz w:val="21"/>
        </w:rPr>
      </w:pPr>
      <w:r>
        <w:rPr>
          <w:rFonts w:hint="eastAsia" w:asciiTheme="minorEastAsia" w:hAnsiTheme="minorEastAsia" w:cstheme="minorEastAsia"/>
          <w:b/>
          <w:bCs/>
          <w:sz w:val="21"/>
        </w:rPr>
        <w:t>1</w:t>
      </w:r>
      <w:r>
        <w:rPr>
          <w:rFonts w:asciiTheme="minorEastAsia" w:hAnsiTheme="minorEastAsia" w:cstheme="minorEastAsia"/>
          <w:b/>
          <w:bCs/>
          <w:sz w:val="21"/>
        </w:rPr>
        <w:t>3</w:t>
      </w:r>
      <w:r>
        <w:rPr>
          <w:rFonts w:hint="eastAsia" w:asciiTheme="minorEastAsia" w:hAnsiTheme="minorEastAsia" w:cstheme="minorEastAsia"/>
          <w:b/>
          <w:bCs/>
          <w:sz w:val="21"/>
        </w:rPr>
        <w:t>、包装、发运及运输</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3</w:t>
      </w:r>
      <w:r>
        <w:rPr>
          <w:rFonts w:hint="eastAsia" w:asciiTheme="minorEastAsia" w:hAnsiTheme="minorEastAsia" w:cstheme="minorEastAsia"/>
          <w:sz w:val="21"/>
        </w:rPr>
        <w:t>.1 乙方应对其提供的服务所涉及物品在发运前对其进行满足运输距离、防潮、防震、防锈和防破损装卸等要求包装，以保证安全运达甲方指定地点。</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3</w:t>
      </w:r>
      <w:r>
        <w:rPr>
          <w:rFonts w:hint="eastAsia" w:asciiTheme="minorEastAsia" w:hAnsiTheme="minorEastAsia" w:cstheme="minorEastAsia"/>
          <w:sz w:val="21"/>
        </w:rPr>
        <w:t>.2 乙方交付时，使用说明书、检验证明书、随配附件和工具以及清单一并附于内。</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3</w:t>
      </w:r>
      <w:r>
        <w:rPr>
          <w:rFonts w:hint="eastAsia" w:asciiTheme="minorEastAsia" w:hAnsiTheme="minorEastAsia" w:cstheme="minorEastAsia"/>
          <w:sz w:val="21"/>
        </w:rPr>
        <w:t>.3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3</w:t>
      </w:r>
      <w:r>
        <w:rPr>
          <w:rFonts w:hint="eastAsia" w:asciiTheme="minorEastAsia" w:hAnsiTheme="minorEastAsia" w:cstheme="minorEastAsia"/>
          <w:sz w:val="21"/>
        </w:rPr>
        <w:t>.4 服务在交付甲方前发生的风险均由乙方负责。</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3</w:t>
      </w:r>
      <w:r>
        <w:rPr>
          <w:rFonts w:hint="eastAsia" w:asciiTheme="minorEastAsia" w:hAnsiTheme="minorEastAsia" w:cstheme="minorEastAsia"/>
          <w:sz w:val="21"/>
        </w:rPr>
        <w:t>.5 服务在规定的交付期限内由乙方送达甲方指定的地点。</w:t>
      </w:r>
    </w:p>
    <w:p>
      <w:pPr>
        <w:pStyle w:val="15"/>
        <w:snapToGrid w:val="0"/>
        <w:spacing w:line="360" w:lineRule="auto"/>
        <w:ind w:left="315" w:leftChars="150" w:firstLine="105" w:firstLineChars="50"/>
        <w:rPr>
          <w:rFonts w:asciiTheme="minorEastAsia" w:hAnsiTheme="minorEastAsia" w:cstheme="minorEastAsia"/>
          <w:b/>
          <w:bCs/>
          <w:sz w:val="21"/>
        </w:rPr>
      </w:pPr>
      <w:r>
        <w:rPr>
          <w:rFonts w:hint="eastAsia" w:asciiTheme="minorEastAsia" w:hAnsiTheme="minorEastAsia" w:cstheme="minorEastAsia"/>
          <w:b/>
          <w:bCs/>
          <w:sz w:val="21"/>
        </w:rPr>
        <w:t>1</w:t>
      </w:r>
      <w:r>
        <w:rPr>
          <w:rFonts w:asciiTheme="minorEastAsia" w:hAnsiTheme="minorEastAsia" w:cstheme="minorEastAsia"/>
          <w:b/>
          <w:bCs/>
          <w:sz w:val="21"/>
        </w:rPr>
        <w:t>4</w:t>
      </w:r>
      <w:r>
        <w:rPr>
          <w:rFonts w:hint="eastAsia" w:asciiTheme="minorEastAsia" w:hAnsiTheme="minorEastAsia" w:cstheme="minorEastAsia"/>
          <w:b/>
          <w:bCs/>
          <w:sz w:val="21"/>
        </w:rPr>
        <w:t>、违约责任</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4</w:t>
      </w:r>
      <w:r>
        <w:rPr>
          <w:rFonts w:hint="eastAsia" w:asciiTheme="minorEastAsia" w:hAnsiTheme="minorEastAsia" w:cstheme="minorEastAsia"/>
          <w:sz w:val="21"/>
        </w:rPr>
        <w:t>.1 甲方无正当理由拒绝初验收和终验收服务项目的，甲方应按未付服务项目款金额每日万分之五向乙方支付违约金。</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4</w:t>
      </w:r>
      <w:r>
        <w:rPr>
          <w:rFonts w:hint="eastAsia" w:asciiTheme="minorEastAsia" w:hAnsiTheme="minorEastAsia" w:cstheme="minorEastAsia"/>
          <w:sz w:val="21"/>
        </w:rPr>
        <w:t>.2 甲方无故逾期验收和无故逾期办理款项支付手续的，甲方应按逾期付款金额每日万分之五向乙方支付违约金。</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4</w:t>
      </w:r>
      <w:r>
        <w:rPr>
          <w:rFonts w:hint="eastAsia" w:asciiTheme="minorEastAsia" w:hAnsiTheme="minorEastAsia" w:cstheme="minorEastAsia"/>
          <w:sz w:val="21"/>
        </w:rPr>
        <w:t>.3乙方违约，在消除违约情形前，应按本合同项目总额每日万分之五向甲方支付违约金，甲方可以从待付款项中扣除。</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4</w:t>
      </w:r>
      <w:r>
        <w:rPr>
          <w:rFonts w:hint="eastAsia" w:asciiTheme="minorEastAsia" w:hAnsiTheme="minorEastAsia" w:cstheme="minorEastAsia"/>
          <w:sz w:val="21"/>
        </w:rPr>
        <w:t>.4乙方因逾期交付服务项目或因其他违约行为，导致甲方解除合同的，乙方应向甲方支付合同总值5%的违约金，如造成甲方损失超过违约金的，超出部分由乙方继续承担赔偿责任。</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4</w:t>
      </w:r>
      <w:r>
        <w:rPr>
          <w:rFonts w:hint="eastAsia" w:asciiTheme="minorEastAsia" w:hAnsiTheme="minorEastAsia" w:cstheme="minorEastAsia"/>
          <w:sz w:val="21"/>
        </w:rPr>
        <w:t>.5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4</w:t>
      </w:r>
      <w:r>
        <w:rPr>
          <w:rFonts w:hint="eastAsia" w:asciiTheme="minorEastAsia" w:hAnsiTheme="minorEastAsia" w:cstheme="minorEastAsia"/>
          <w:sz w:val="21"/>
        </w:rPr>
        <w:t>.6合同生效后，发现乙方投标属虚假承诺，或经权威部门监测提供的服务不能满足招标文件要求，造成合同无法继续履行的，乙方应向甲方支付不少于合同总价</w:t>
      </w:r>
      <w:r>
        <w:rPr>
          <w:rFonts w:hint="eastAsia" w:asciiTheme="minorEastAsia" w:hAnsiTheme="minorEastAsia" w:cstheme="minorEastAsia"/>
          <w:sz w:val="21"/>
          <w:u w:val="single"/>
        </w:rPr>
        <w:t xml:space="preserve">  </w:t>
      </w:r>
      <w:r>
        <w:rPr>
          <w:rFonts w:hint="eastAsia" w:asciiTheme="minorEastAsia" w:hAnsiTheme="minorEastAsia" w:cstheme="minorEastAsia"/>
          <w:sz w:val="21"/>
        </w:rPr>
        <w:t>%赔偿金。</w:t>
      </w:r>
    </w:p>
    <w:p>
      <w:pPr>
        <w:pStyle w:val="15"/>
        <w:snapToGrid w:val="0"/>
        <w:spacing w:line="360" w:lineRule="auto"/>
        <w:ind w:firstLine="422"/>
        <w:rPr>
          <w:rFonts w:asciiTheme="minorEastAsia" w:hAnsiTheme="minorEastAsia" w:cstheme="minorEastAsia"/>
          <w:b/>
          <w:bCs/>
          <w:sz w:val="21"/>
        </w:rPr>
      </w:pPr>
      <w:r>
        <w:rPr>
          <w:rFonts w:hint="eastAsia" w:asciiTheme="minorEastAsia" w:hAnsiTheme="minorEastAsia" w:cstheme="minorEastAsia"/>
          <w:b/>
          <w:bCs/>
          <w:sz w:val="21"/>
        </w:rPr>
        <w:t>1</w:t>
      </w:r>
      <w:r>
        <w:rPr>
          <w:rFonts w:asciiTheme="minorEastAsia" w:hAnsiTheme="minorEastAsia" w:cstheme="minorEastAsia"/>
          <w:b/>
          <w:bCs/>
          <w:sz w:val="21"/>
        </w:rPr>
        <w:t>5</w:t>
      </w:r>
      <w:r>
        <w:rPr>
          <w:rFonts w:hint="eastAsia" w:asciiTheme="minorEastAsia" w:hAnsiTheme="minorEastAsia" w:cstheme="minorEastAsia"/>
          <w:b/>
          <w:bCs/>
          <w:sz w:val="21"/>
        </w:rPr>
        <w:t>、不可抗力事件处理</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5</w:t>
      </w:r>
      <w:r>
        <w:rPr>
          <w:rFonts w:hint="eastAsia" w:asciiTheme="minorEastAsia" w:hAnsiTheme="minorEastAsia" w:cstheme="minorEastAsia"/>
          <w:sz w:val="21"/>
        </w:rPr>
        <w:t>.1 在合同有效期内，甲乙双方因不可抗力事件导致不能履行合同，则合同履行期可延长，其延长期与不可抗力影响期相同。不可抗力，是指不能预见、不能避免且不能克服的客观情况，例如战争、严重的地震、洪水等</w:t>
      </w:r>
      <w:r>
        <w:rPr>
          <w:rFonts w:hint="eastAsia" w:asciiTheme="minorEastAsia" w:hAnsiTheme="minorEastAsia" w:cstheme="minorEastAsia"/>
          <w:b/>
          <w:bCs/>
          <w:sz w:val="21"/>
        </w:rPr>
        <w:t>（因新冠肺炎疫情防控造成的损失和费用增加，适用合同不可抗力相关条款规定）</w:t>
      </w:r>
      <w:r>
        <w:rPr>
          <w:rFonts w:hint="eastAsia" w:asciiTheme="minorEastAsia" w:hAnsiTheme="minorEastAsia" w:cstheme="minorEastAsia"/>
          <w:sz w:val="21"/>
        </w:rPr>
        <w:t>。但一方违约或疏忽导致合同不能履行的不属于不可抗力因素。</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5</w:t>
      </w:r>
      <w:r>
        <w:rPr>
          <w:rFonts w:hint="eastAsia" w:asciiTheme="minorEastAsia" w:hAnsiTheme="minorEastAsia" w:cstheme="minorEastAsia"/>
          <w:sz w:val="21"/>
        </w:rPr>
        <w:t>.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15"/>
        <w:snapToGrid w:val="0"/>
        <w:spacing w:line="360" w:lineRule="auto"/>
        <w:ind w:left="315" w:leftChars="150" w:firstLine="105" w:firstLineChars="50"/>
        <w:rPr>
          <w:rFonts w:asciiTheme="minorEastAsia" w:hAnsiTheme="minorEastAsia" w:cstheme="minorEastAsia"/>
          <w:b/>
          <w:bCs/>
          <w:sz w:val="21"/>
        </w:rPr>
      </w:pPr>
      <w:r>
        <w:rPr>
          <w:rFonts w:hint="eastAsia" w:asciiTheme="minorEastAsia" w:hAnsiTheme="minorEastAsia" w:cstheme="minorEastAsia"/>
          <w:b/>
          <w:bCs/>
          <w:sz w:val="21"/>
        </w:rPr>
        <w:t>1</w:t>
      </w:r>
      <w:r>
        <w:rPr>
          <w:rFonts w:asciiTheme="minorEastAsia" w:hAnsiTheme="minorEastAsia" w:cstheme="minorEastAsia"/>
          <w:b/>
          <w:bCs/>
          <w:sz w:val="21"/>
        </w:rPr>
        <w:t>6</w:t>
      </w:r>
      <w:r>
        <w:rPr>
          <w:rFonts w:hint="eastAsia" w:asciiTheme="minorEastAsia" w:hAnsiTheme="minorEastAsia" w:cstheme="minorEastAsia"/>
          <w:b/>
          <w:bCs/>
          <w:sz w:val="21"/>
        </w:rPr>
        <w:t>、争议解决</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6</w:t>
      </w:r>
      <w:r>
        <w:rPr>
          <w:rFonts w:hint="eastAsia" w:asciiTheme="minorEastAsia" w:hAnsiTheme="minorEastAsia" w:cstheme="minorEastAsia"/>
          <w:sz w:val="21"/>
        </w:rPr>
        <w:t>.1 因服务的品质质量问题发生争议的，可在国家认可的质量检测机构对服务内容质量进行鉴定。服务符合标准的，鉴定费由甲方承担；服务项目不符合质量标准的，鉴定费由乙方承担。</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6</w:t>
      </w:r>
      <w:r>
        <w:rPr>
          <w:rFonts w:hint="eastAsia" w:asciiTheme="minorEastAsia" w:hAnsiTheme="minorEastAsia" w:cstheme="minorEastAsia"/>
          <w:sz w:val="21"/>
        </w:rPr>
        <w:t>.2 因履行本合同引起的或与本合同有关的争议，甲、乙双方应首先通过友好协商解决；如果协商不能解决争议，甲乙双方同意采取下列两种方式的第</w:t>
      </w:r>
      <w:r>
        <w:rPr>
          <w:rFonts w:hint="eastAsia" w:asciiTheme="minorEastAsia" w:hAnsiTheme="minorEastAsia" w:cstheme="minorEastAsia"/>
          <w:sz w:val="21"/>
          <w:u w:val="single"/>
        </w:rPr>
        <w:t>（  ）</w:t>
      </w:r>
      <w:r>
        <w:rPr>
          <w:rFonts w:hint="eastAsia" w:asciiTheme="minorEastAsia" w:hAnsiTheme="minorEastAsia" w:cstheme="minorEastAsia"/>
          <w:sz w:val="21"/>
        </w:rPr>
        <w:t>种方式解决争议：</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（1）向甲方所在地有管辖权的人民法院提起诉讼，适用中华人民共和国法律；</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（2）向扬州仲裁委员会按其仲裁规则申请仲裁。</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6</w:t>
      </w:r>
      <w:r>
        <w:rPr>
          <w:rFonts w:hint="eastAsia" w:asciiTheme="minorEastAsia" w:hAnsiTheme="minorEastAsia" w:cstheme="minorEastAsia"/>
          <w:sz w:val="21"/>
        </w:rPr>
        <w:t>.3 若甲乙双方任何一方都没有选择解除合同的，为避免扩大损失，在诉讼或仲裁期间，双方应继续履行。</w:t>
      </w:r>
    </w:p>
    <w:p>
      <w:pPr>
        <w:pStyle w:val="15"/>
        <w:snapToGrid w:val="0"/>
        <w:spacing w:line="360" w:lineRule="auto"/>
        <w:ind w:left="315" w:leftChars="150" w:firstLine="105" w:firstLineChars="50"/>
        <w:rPr>
          <w:rFonts w:asciiTheme="minorEastAsia" w:hAnsiTheme="minorEastAsia" w:cstheme="minorEastAsia"/>
          <w:b/>
          <w:bCs/>
          <w:sz w:val="21"/>
        </w:rPr>
      </w:pPr>
      <w:r>
        <w:rPr>
          <w:rFonts w:hint="eastAsia" w:asciiTheme="minorEastAsia" w:hAnsiTheme="minorEastAsia" w:cstheme="minorEastAsia"/>
          <w:b/>
          <w:bCs/>
          <w:sz w:val="21"/>
        </w:rPr>
        <w:t>1</w:t>
      </w:r>
      <w:r>
        <w:rPr>
          <w:rFonts w:asciiTheme="minorEastAsia" w:hAnsiTheme="minorEastAsia" w:cstheme="minorEastAsia"/>
          <w:b/>
          <w:bCs/>
          <w:sz w:val="21"/>
        </w:rPr>
        <w:t>7</w:t>
      </w:r>
      <w:r>
        <w:rPr>
          <w:rFonts w:hint="eastAsia" w:asciiTheme="minorEastAsia" w:hAnsiTheme="minorEastAsia" w:cstheme="minorEastAsia"/>
          <w:b/>
          <w:bCs/>
          <w:sz w:val="21"/>
        </w:rPr>
        <w:t>、合同其它</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7</w:t>
      </w:r>
      <w:r>
        <w:rPr>
          <w:rFonts w:hint="eastAsia" w:asciiTheme="minorEastAsia" w:hAnsiTheme="minorEastAsia" w:cstheme="minorEastAsia"/>
          <w:sz w:val="21"/>
        </w:rPr>
        <w:t>.1 乙方应诚实信用，严格按照招标文件要求和投标承诺履行合同，不向甲方进行商业贿赂或者提供不正当利益。</w:t>
      </w:r>
    </w:p>
    <w:p>
      <w:pPr>
        <w:pStyle w:val="15"/>
        <w:snapToGrid w:val="0"/>
        <w:spacing w:line="360" w:lineRule="auto"/>
        <w:rPr>
          <w:rFonts w:asciiTheme="minorEastAsia" w:hAnsiTheme="minorEastAsia" w:cstheme="minorEastAsia"/>
          <w:sz w:val="21"/>
          <w:u w:val="single"/>
        </w:rPr>
      </w:pPr>
      <w:r>
        <w:rPr>
          <w:rFonts w:hint="eastAsia" w:asciiTheme="minorEastAsia" w:hAnsiTheme="minorEastAsia" w:cstheme="minorEastAsia"/>
          <w:sz w:val="21"/>
        </w:rPr>
        <w:t>1</w:t>
      </w:r>
      <w:r>
        <w:rPr>
          <w:rFonts w:asciiTheme="minorEastAsia" w:hAnsiTheme="minorEastAsia" w:cstheme="minorEastAsia"/>
          <w:sz w:val="21"/>
        </w:rPr>
        <w:t>7</w:t>
      </w:r>
      <w:r>
        <w:rPr>
          <w:rFonts w:hint="eastAsia" w:asciiTheme="minorEastAsia" w:hAnsiTheme="minorEastAsia" w:cstheme="minorEastAsia"/>
          <w:sz w:val="21"/>
        </w:rPr>
        <w:t>.2 合同经双方法定代表人或授权代表签字并加盖单位公章后生效。</w:t>
      </w:r>
    </w:p>
    <w:p>
      <w:pPr>
        <w:pStyle w:val="15"/>
        <w:snapToGrid w:val="0"/>
        <w:spacing w:line="360" w:lineRule="auto"/>
        <w:rPr>
          <w:rFonts w:asciiTheme="minorEastAsia" w:hAnsiTheme="minorEastAsia" w:cstheme="minorEastAsia"/>
          <w:sz w:val="21"/>
          <w:u w:val="single"/>
        </w:rPr>
      </w:pPr>
      <w:r>
        <w:rPr>
          <w:rFonts w:hint="eastAsia" w:asciiTheme="minorEastAsia" w:hAnsiTheme="minorEastAsia" w:cstheme="minorEastAsia"/>
          <w:sz w:val="21"/>
        </w:rPr>
        <w:t>1</w:t>
      </w:r>
      <w:r>
        <w:rPr>
          <w:rFonts w:asciiTheme="minorEastAsia" w:hAnsiTheme="minorEastAsia" w:cstheme="minorEastAsia"/>
          <w:sz w:val="21"/>
        </w:rPr>
        <w:t>7</w:t>
      </w:r>
      <w:r>
        <w:rPr>
          <w:rFonts w:hint="eastAsia" w:asciiTheme="minorEastAsia" w:hAnsiTheme="minorEastAsia" w:cstheme="minorEastAsia"/>
          <w:sz w:val="21"/>
        </w:rPr>
        <w:t>.2本合同未尽事宜，遵照《合同法》有关条文执行。</w:t>
      </w:r>
    </w:p>
    <w:p>
      <w:pPr>
        <w:pStyle w:val="15"/>
        <w:snapToGrid w:val="0"/>
        <w:spacing w:line="360" w:lineRule="auto"/>
        <w:rPr>
          <w:rFonts w:asciiTheme="minorEastAsia" w:hAnsiTheme="minorEastAsia" w:cstheme="minorEastAsia"/>
          <w:sz w:val="21"/>
        </w:rPr>
      </w:pPr>
      <w:r>
        <w:rPr>
          <w:rFonts w:hint="eastAsia" w:asciiTheme="minorEastAsia" w:hAnsiTheme="minorEastAsia" w:cstheme="minorEastAsia"/>
          <w:sz w:val="21"/>
        </w:rPr>
        <w:t>1</w:t>
      </w:r>
      <w:r>
        <w:rPr>
          <w:rFonts w:asciiTheme="minorEastAsia" w:hAnsiTheme="minorEastAsia" w:cstheme="minorEastAsia"/>
          <w:sz w:val="21"/>
        </w:rPr>
        <w:t>7</w:t>
      </w:r>
      <w:r>
        <w:rPr>
          <w:rFonts w:hint="eastAsia" w:asciiTheme="minorEastAsia" w:hAnsiTheme="minorEastAsia" w:cstheme="minorEastAsia"/>
          <w:sz w:val="21"/>
        </w:rPr>
        <w:t>.3 本合同正本一式四份，具有同等法律效力，甲方、乙方各执两份。</w:t>
      </w:r>
    </w:p>
    <w:p>
      <w:pPr>
        <w:pStyle w:val="15"/>
        <w:snapToGrid w:val="0"/>
        <w:spacing w:line="360" w:lineRule="auto"/>
        <w:ind w:left="420" w:hanging="420" w:hangingChars="200"/>
        <w:rPr>
          <w:rFonts w:asciiTheme="minorEastAsia" w:hAnsiTheme="minorEastAsia" w:cstheme="minorEastAsia"/>
          <w:sz w:val="21"/>
        </w:rPr>
      </w:pPr>
    </w:p>
    <w:p>
      <w:pPr>
        <w:pStyle w:val="15"/>
        <w:snapToGrid w:val="0"/>
        <w:spacing w:line="360" w:lineRule="auto"/>
        <w:ind w:left="420" w:hanging="420" w:hangingChars="200"/>
        <w:rPr>
          <w:rFonts w:asciiTheme="minorEastAsia" w:hAnsiTheme="minorEastAsia" w:cstheme="minorEastAsia"/>
          <w:sz w:val="21"/>
        </w:rPr>
      </w:pPr>
      <w:r>
        <w:rPr>
          <w:rFonts w:hint="eastAsia" w:asciiTheme="minorEastAsia" w:hAnsiTheme="minorEastAsia" w:cstheme="minorEastAsia"/>
          <w:sz w:val="21"/>
        </w:rPr>
        <w:t xml:space="preserve">  甲方：</w:t>
      </w:r>
      <w:r>
        <w:rPr>
          <w:rFonts w:hint="eastAsia" w:asciiTheme="minorEastAsia" w:hAnsiTheme="minorEastAsia" w:cstheme="minorEastAsia"/>
          <w:color w:val="000000"/>
          <w:sz w:val="21"/>
        </w:rPr>
        <w:t xml:space="preserve">扬州市民卡有限责任公司                </w:t>
      </w:r>
      <w:r>
        <w:rPr>
          <w:rFonts w:hint="eastAsia" w:asciiTheme="minorEastAsia" w:hAnsiTheme="minorEastAsia" w:cstheme="minorEastAsia"/>
          <w:sz w:val="21"/>
        </w:rPr>
        <w:t xml:space="preserve">乙方： </w:t>
      </w:r>
    </w:p>
    <w:p>
      <w:pPr>
        <w:pStyle w:val="15"/>
        <w:snapToGrid w:val="0"/>
        <w:spacing w:line="360" w:lineRule="auto"/>
        <w:ind w:firstLine="0" w:firstLineChars="0"/>
        <w:rPr>
          <w:rFonts w:asciiTheme="minorEastAsia" w:hAnsiTheme="minorEastAsia" w:cstheme="minorEastAsia"/>
          <w:sz w:val="21"/>
        </w:rPr>
      </w:pPr>
      <w:r>
        <w:rPr>
          <w:rFonts w:hint="eastAsia" w:asciiTheme="minorEastAsia" w:hAnsiTheme="minorEastAsia" w:cstheme="minorEastAsia"/>
          <w:sz w:val="21"/>
        </w:rPr>
        <w:t xml:space="preserve">  地址：</w:t>
      </w:r>
      <w:r>
        <w:rPr>
          <w:rFonts w:hint="eastAsia" w:asciiTheme="minorEastAsia" w:hAnsiTheme="minorEastAsia" w:cstheme="minorEastAsia"/>
          <w:sz w:val="21"/>
        </w:rPr>
        <w:tab/>
      </w:r>
      <w:r>
        <w:rPr>
          <w:rFonts w:hint="eastAsia" w:asciiTheme="minorEastAsia" w:hAnsiTheme="minorEastAsia" w:cstheme="minorEastAsia"/>
          <w:sz w:val="21"/>
        </w:rPr>
        <w:tab/>
      </w:r>
      <w:r>
        <w:rPr>
          <w:rFonts w:hint="eastAsia" w:asciiTheme="minorEastAsia" w:hAnsiTheme="minorEastAsia" w:cstheme="minorEastAsia"/>
          <w:sz w:val="21"/>
        </w:rPr>
        <w:tab/>
      </w:r>
      <w:r>
        <w:rPr>
          <w:rFonts w:hint="eastAsia" w:asciiTheme="minorEastAsia" w:hAnsiTheme="minorEastAsia" w:cstheme="minorEastAsia"/>
          <w:sz w:val="21"/>
        </w:rPr>
        <w:tab/>
      </w:r>
      <w:r>
        <w:rPr>
          <w:rFonts w:hint="eastAsia" w:asciiTheme="minorEastAsia" w:hAnsiTheme="minorEastAsia" w:cstheme="minorEastAsia"/>
          <w:sz w:val="21"/>
        </w:rPr>
        <w:t xml:space="preserve">                         地址： </w:t>
      </w:r>
    </w:p>
    <w:p>
      <w:pPr>
        <w:pStyle w:val="15"/>
        <w:snapToGrid w:val="0"/>
        <w:spacing w:line="360" w:lineRule="auto"/>
        <w:ind w:firstLine="0" w:firstLineChars="0"/>
        <w:rPr>
          <w:rFonts w:asciiTheme="minorEastAsia" w:hAnsiTheme="minorEastAsia" w:cstheme="minorEastAsia"/>
          <w:sz w:val="21"/>
        </w:rPr>
      </w:pPr>
      <w:r>
        <w:rPr>
          <w:rFonts w:hint="eastAsia" w:asciiTheme="minorEastAsia" w:hAnsiTheme="minorEastAsia" w:cstheme="minorEastAsia"/>
          <w:sz w:val="21"/>
        </w:rPr>
        <w:t xml:space="preserve">  法定代表人或授权代表：                      法定代表人或授权代表：</w:t>
      </w:r>
    </w:p>
    <w:p>
      <w:pPr>
        <w:pStyle w:val="15"/>
        <w:snapToGrid w:val="0"/>
        <w:spacing w:line="360" w:lineRule="auto"/>
        <w:ind w:firstLine="0" w:firstLineChars="0"/>
        <w:rPr>
          <w:rFonts w:asciiTheme="minorEastAsia" w:hAnsiTheme="minorEastAsia" w:cstheme="minorEastAsia"/>
          <w:sz w:val="21"/>
        </w:rPr>
      </w:pPr>
      <w:r>
        <w:rPr>
          <w:rFonts w:hint="eastAsia" w:asciiTheme="minorEastAsia" w:hAnsiTheme="minorEastAsia" w:cstheme="minorEastAsia"/>
          <w:sz w:val="21"/>
        </w:rPr>
        <w:t xml:space="preserve">  联系电话：                                  联系电话：</w:t>
      </w:r>
    </w:p>
    <w:p>
      <w:pPr>
        <w:pStyle w:val="15"/>
        <w:snapToGrid w:val="0"/>
        <w:spacing w:line="360" w:lineRule="auto"/>
        <w:ind w:firstLine="210" w:firstLineChars="100"/>
        <w:rPr>
          <w:rFonts w:asciiTheme="minorEastAsia" w:hAnsiTheme="minorEastAsia" w:cstheme="minorEastAsia"/>
          <w:sz w:val="21"/>
        </w:rPr>
      </w:pPr>
      <w:r>
        <w:rPr>
          <w:rFonts w:hint="eastAsia" w:asciiTheme="minorEastAsia" w:hAnsiTheme="minorEastAsia" w:cstheme="minorEastAsia"/>
          <w:sz w:val="21"/>
        </w:rPr>
        <w:t>日期：      年    月    日                  日期：      年    月    日</w:t>
      </w:r>
    </w:p>
    <w:p>
      <w:pPr>
        <w:pStyle w:val="4"/>
        <w:snapToGrid w:val="0"/>
        <w:spacing w:before="0" w:after="0"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br w:type="column"/>
      </w:r>
      <w:bookmarkStart w:id="104" w:name="_Toc43907176"/>
      <w:r>
        <w:rPr>
          <w:rFonts w:hint="eastAsia" w:asciiTheme="minorEastAsia" w:hAnsiTheme="minorEastAsia" w:eastAsiaTheme="minorEastAsia" w:cstheme="minorEastAsia"/>
        </w:rPr>
        <w:t>第五章 项目需求</w:t>
      </w:r>
      <w:bookmarkEnd w:id="104"/>
    </w:p>
    <w:p>
      <w:pPr>
        <w:snapToGrid w:val="0"/>
        <w:spacing w:line="360" w:lineRule="auto"/>
        <w:ind w:firstLine="0" w:firstLineChars="0"/>
        <w:rPr>
          <w:rFonts w:asciiTheme="minorEastAsia" w:hAnsiTheme="minorEastAsia" w:cstheme="minorEastAsia"/>
          <w:b/>
          <w:bCs/>
          <w:szCs w:val="21"/>
        </w:rPr>
      </w:pPr>
      <w:r>
        <w:rPr>
          <w:rFonts w:hint="eastAsia" w:asciiTheme="minorEastAsia" w:hAnsiTheme="minorEastAsia" w:cstheme="minorEastAsia"/>
          <w:b/>
          <w:bCs/>
          <w:szCs w:val="21"/>
        </w:rPr>
        <w:t>一、项目概况</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项目名称：</w:t>
      </w:r>
      <w:r>
        <w:rPr>
          <w:rFonts w:hint="eastAsia" w:asciiTheme="minorEastAsia" w:hAnsiTheme="minorEastAsia" w:cstheme="minorEastAsia"/>
          <w:bCs/>
          <w:szCs w:val="21"/>
        </w:rPr>
        <w:t>扬州市民卡“扬州公用事业缴费中心系统建设”云计算环境升级采购和服务</w:t>
      </w:r>
    </w:p>
    <w:p>
      <w:pPr>
        <w:snapToGrid w:val="0"/>
        <w:spacing w:line="360" w:lineRule="auto"/>
        <w:rPr>
          <w:rFonts w:asciiTheme="minorEastAsia" w:hAnsiTheme="minorEastAsia" w:cstheme="minorEastAsia"/>
          <w:color w:val="000000"/>
          <w:szCs w:val="21"/>
        </w:rPr>
      </w:pPr>
      <w:r>
        <w:rPr>
          <w:rFonts w:hint="eastAsia" w:asciiTheme="minorEastAsia" w:hAnsiTheme="minorEastAsia" w:cstheme="minorEastAsia"/>
          <w:szCs w:val="21"/>
        </w:rPr>
        <w:t>招标内容：</w:t>
      </w:r>
      <w:r>
        <w:rPr>
          <w:rFonts w:hint="eastAsia" w:asciiTheme="minorEastAsia" w:hAnsiTheme="minorEastAsia" w:cstheme="minorEastAsia"/>
          <w:bCs/>
          <w:szCs w:val="21"/>
        </w:rPr>
        <w:t>采购3台服务器与2台光纤交换机，并根据采购人的现状完成云计算环境的升级服务</w:t>
      </w:r>
      <w:r>
        <w:rPr>
          <w:rFonts w:hint="eastAsia" w:asciiTheme="minorEastAsia" w:hAnsiTheme="minorEastAsia" w:cstheme="minorEastAsia"/>
          <w:color w:val="000000"/>
          <w:szCs w:val="21"/>
        </w:rPr>
        <w:t>。</w:t>
      </w:r>
    </w:p>
    <w:p>
      <w:pPr>
        <w:snapToGrid w:val="0"/>
        <w:spacing w:line="360" w:lineRule="auto"/>
        <w:rPr>
          <w:rFonts w:asciiTheme="minorEastAsia" w:hAnsiTheme="minorEastAsia" w:cstheme="minorEastAsia"/>
          <w:b/>
          <w:bCs/>
          <w:kern w:val="0"/>
          <w:szCs w:val="21"/>
        </w:rPr>
      </w:pPr>
      <w:r>
        <w:rPr>
          <w:rFonts w:hint="eastAsia" w:asciiTheme="minorEastAsia" w:hAnsiTheme="minorEastAsia" w:cstheme="minorEastAsia"/>
          <w:kern w:val="0"/>
          <w:szCs w:val="21"/>
        </w:rPr>
        <w:t>招标控制价：本分包招标控制价为</w:t>
      </w:r>
      <w:r>
        <w:rPr>
          <w:rFonts w:hint="eastAsia" w:asciiTheme="minorEastAsia" w:hAnsiTheme="minorEastAsia" w:cstheme="minorEastAsia"/>
          <w:b/>
          <w:bCs/>
          <w:kern w:val="0"/>
          <w:szCs w:val="21"/>
        </w:rPr>
        <w:t>26万元</w:t>
      </w:r>
      <w:r>
        <w:rPr>
          <w:rFonts w:hint="eastAsia" w:asciiTheme="minorEastAsia" w:hAnsiTheme="minorEastAsia" w:cstheme="minorEastAsia"/>
          <w:kern w:val="0"/>
          <w:szCs w:val="21"/>
        </w:rPr>
        <w:t>，投标报价超过者按否决投标处理。</w:t>
      </w:r>
    </w:p>
    <w:p>
      <w:pPr>
        <w:pStyle w:val="2"/>
        <w:snapToGrid w:val="0"/>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服务地点：扬州信息产业园2期15号楼二楼。</w:t>
      </w:r>
    </w:p>
    <w:p>
      <w:pPr>
        <w:pStyle w:val="31"/>
        <w:snapToGrid w:val="0"/>
        <w:spacing w:line="360" w:lineRule="auto"/>
        <w:rPr>
          <w:rFonts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二、技术要求</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注：技术指标★号部分为核心指标，有不满足或负偏离项作为无效投标文件；我方保留对投标方所提供产品的指标进行测试的权利。</w:t>
      </w:r>
    </w:p>
    <w:tbl>
      <w:tblPr>
        <w:tblStyle w:val="26"/>
        <w:tblW w:w="8247" w:type="dxa"/>
        <w:tblInd w:w="93" w:type="dxa"/>
        <w:tblLayout w:type="autofit"/>
        <w:tblCellMar>
          <w:top w:w="0" w:type="dxa"/>
          <w:left w:w="108" w:type="dxa"/>
          <w:bottom w:w="0" w:type="dxa"/>
          <w:right w:w="108" w:type="dxa"/>
        </w:tblCellMar>
      </w:tblPr>
      <w:tblGrid>
        <w:gridCol w:w="1149"/>
        <w:gridCol w:w="3969"/>
        <w:gridCol w:w="1134"/>
        <w:gridCol w:w="1995"/>
      </w:tblGrid>
      <w:tr>
        <w:tblPrEx>
          <w:tblCellMar>
            <w:top w:w="0" w:type="dxa"/>
            <w:left w:w="108" w:type="dxa"/>
            <w:bottom w:w="0" w:type="dxa"/>
            <w:right w:w="108" w:type="dxa"/>
          </w:tblCellMar>
        </w:tblPrEx>
        <w:trPr>
          <w:trHeight w:val="396" w:hRule="atLeast"/>
        </w:trPr>
        <w:tc>
          <w:tcPr>
            <w:tcW w:w="1149" w:type="dxa"/>
            <w:tcBorders>
              <w:top w:val="single" w:color="auto" w:sz="4" w:space="0"/>
              <w:left w:val="single" w:color="auto" w:sz="4" w:space="0"/>
              <w:bottom w:val="single" w:color="auto" w:sz="4" w:space="0"/>
              <w:right w:val="single" w:color="auto" w:sz="4" w:space="0"/>
            </w:tcBorders>
            <w:shd w:val="clear" w:color="auto" w:fill="DAEEF3"/>
            <w:vAlign w:val="center"/>
          </w:tcPr>
          <w:p>
            <w:pPr>
              <w:widowControl/>
              <w:ind w:firstLine="0" w:firstLineChars="0"/>
              <w:jc w:val="center"/>
              <w:rPr>
                <w:rFonts w:ascii="宋体" w:hAnsi="宋体" w:cs="宋体"/>
                <w:kern w:val="0"/>
                <w:szCs w:val="21"/>
              </w:rPr>
            </w:pPr>
            <w:r>
              <w:rPr>
                <w:rFonts w:hint="eastAsia" w:ascii="宋体" w:hAnsi="宋体" w:cs="宋体"/>
                <w:kern w:val="0"/>
                <w:szCs w:val="21"/>
              </w:rPr>
              <w:t>序号</w:t>
            </w:r>
          </w:p>
        </w:tc>
        <w:tc>
          <w:tcPr>
            <w:tcW w:w="3969" w:type="dxa"/>
            <w:tcBorders>
              <w:top w:val="single" w:color="auto" w:sz="4" w:space="0"/>
              <w:left w:val="nil"/>
              <w:bottom w:val="single" w:color="auto" w:sz="4" w:space="0"/>
              <w:right w:val="single" w:color="auto" w:sz="4" w:space="0"/>
            </w:tcBorders>
            <w:shd w:val="clear" w:color="auto" w:fill="DAEEF3"/>
            <w:vAlign w:val="center"/>
          </w:tcPr>
          <w:p>
            <w:pPr>
              <w:widowControl/>
              <w:ind w:firstLine="0" w:firstLineChars="0"/>
              <w:jc w:val="center"/>
              <w:rPr>
                <w:rFonts w:ascii="宋体" w:hAnsi="宋体" w:cs="宋体"/>
                <w:kern w:val="0"/>
                <w:szCs w:val="21"/>
              </w:rPr>
            </w:pPr>
            <w:r>
              <w:rPr>
                <w:rFonts w:hint="eastAsia" w:ascii="宋体" w:hAnsi="宋体" w:cs="宋体"/>
                <w:kern w:val="0"/>
                <w:szCs w:val="21"/>
              </w:rPr>
              <w:t>设备及服务名称</w:t>
            </w:r>
          </w:p>
        </w:tc>
        <w:tc>
          <w:tcPr>
            <w:tcW w:w="1134" w:type="dxa"/>
            <w:tcBorders>
              <w:top w:val="single" w:color="auto" w:sz="4" w:space="0"/>
              <w:left w:val="nil"/>
              <w:bottom w:val="single" w:color="auto" w:sz="4" w:space="0"/>
              <w:right w:val="single" w:color="auto" w:sz="4" w:space="0"/>
            </w:tcBorders>
            <w:shd w:val="clear" w:color="auto" w:fill="DAEEF3"/>
            <w:vAlign w:val="center"/>
          </w:tcPr>
          <w:p>
            <w:pPr>
              <w:widowControl/>
              <w:ind w:firstLine="0" w:firstLineChars="0"/>
              <w:jc w:val="center"/>
              <w:rPr>
                <w:rFonts w:ascii="宋体" w:hAnsi="宋体" w:cs="宋体"/>
                <w:kern w:val="0"/>
                <w:szCs w:val="21"/>
              </w:rPr>
            </w:pPr>
            <w:r>
              <w:rPr>
                <w:rFonts w:hint="eastAsia" w:ascii="宋体" w:hAnsi="宋体" w:cs="宋体"/>
                <w:kern w:val="0"/>
                <w:szCs w:val="21"/>
              </w:rPr>
              <w:t>数量</w:t>
            </w:r>
          </w:p>
        </w:tc>
        <w:tc>
          <w:tcPr>
            <w:tcW w:w="1995" w:type="dxa"/>
            <w:tcBorders>
              <w:top w:val="single" w:color="auto" w:sz="4" w:space="0"/>
              <w:left w:val="nil"/>
              <w:bottom w:val="single" w:color="auto" w:sz="4" w:space="0"/>
              <w:right w:val="single" w:color="auto" w:sz="4" w:space="0"/>
            </w:tcBorders>
            <w:shd w:val="clear" w:color="auto" w:fill="DAEEF3"/>
            <w:vAlign w:val="center"/>
          </w:tcPr>
          <w:p>
            <w:pPr>
              <w:widowControl/>
              <w:ind w:firstLine="0" w:firstLineChars="0"/>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96" w:hRule="atLeast"/>
        </w:trPr>
        <w:tc>
          <w:tcPr>
            <w:tcW w:w="1149"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宋体" w:hAnsi="宋体" w:cs="宋体"/>
                <w:kern w:val="0"/>
                <w:szCs w:val="21"/>
              </w:rPr>
            </w:pPr>
            <w:r>
              <w:rPr>
                <w:rFonts w:hint="eastAsia" w:ascii="宋体" w:hAnsi="宋体" w:cs="宋体"/>
                <w:kern w:val="0"/>
                <w:szCs w:val="21"/>
              </w:rPr>
              <w:t>1</w:t>
            </w:r>
          </w:p>
        </w:tc>
        <w:tc>
          <w:tcPr>
            <w:tcW w:w="3969"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宋体" w:hAnsi="宋体" w:cs="宋体"/>
                <w:kern w:val="0"/>
                <w:szCs w:val="21"/>
              </w:rPr>
            </w:pPr>
            <w:r>
              <w:rPr>
                <w:rFonts w:hint="eastAsia" w:ascii="宋体" w:hAnsi="宋体" w:cs="宋体"/>
                <w:kern w:val="0"/>
                <w:szCs w:val="21"/>
              </w:rPr>
              <w:t>私有云服务器</w:t>
            </w:r>
          </w:p>
        </w:tc>
        <w:tc>
          <w:tcPr>
            <w:tcW w:w="1134"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宋体" w:hAnsi="宋体" w:cs="宋体"/>
                <w:kern w:val="0"/>
                <w:szCs w:val="21"/>
              </w:rPr>
            </w:pPr>
            <w:r>
              <w:rPr>
                <w:rFonts w:hint="eastAsia" w:ascii="宋体" w:hAnsi="宋体" w:cs="宋体"/>
                <w:kern w:val="0"/>
                <w:szCs w:val="21"/>
              </w:rPr>
              <w:t>3</w:t>
            </w:r>
          </w:p>
        </w:tc>
        <w:tc>
          <w:tcPr>
            <w:tcW w:w="1995"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宋体" w:hAnsi="宋体" w:cs="宋体"/>
                <w:kern w:val="0"/>
                <w:szCs w:val="21"/>
              </w:rPr>
            </w:pPr>
            <w:r>
              <w:rPr>
                <w:rFonts w:hint="eastAsia" w:ascii="宋体" w:hAnsi="宋体" w:cs="宋体"/>
                <w:kern w:val="0"/>
                <w:szCs w:val="21"/>
              </w:rPr>
              <w:t>　</w:t>
            </w:r>
          </w:p>
        </w:tc>
      </w:tr>
      <w:tr>
        <w:tblPrEx>
          <w:tblCellMar>
            <w:top w:w="0" w:type="dxa"/>
            <w:left w:w="108" w:type="dxa"/>
            <w:bottom w:w="0" w:type="dxa"/>
            <w:right w:w="108" w:type="dxa"/>
          </w:tblCellMar>
        </w:tblPrEx>
        <w:trPr>
          <w:trHeight w:val="396" w:hRule="atLeast"/>
        </w:trPr>
        <w:tc>
          <w:tcPr>
            <w:tcW w:w="1149" w:type="dxa"/>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ascii="宋体" w:hAnsi="宋体" w:cs="宋体"/>
                <w:kern w:val="0"/>
                <w:szCs w:val="21"/>
              </w:rPr>
            </w:pPr>
            <w:r>
              <w:rPr>
                <w:rFonts w:hint="eastAsia" w:ascii="宋体" w:hAnsi="宋体" w:cs="宋体"/>
                <w:kern w:val="0"/>
                <w:szCs w:val="21"/>
              </w:rPr>
              <w:t>2</w:t>
            </w:r>
          </w:p>
        </w:tc>
        <w:tc>
          <w:tcPr>
            <w:tcW w:w="3969"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宋体" w:hAnsi="宋体" w:cs="宋体"/>
                <w:kern w:val="0"/>
                <w:szCs w:val="21"/>
              </w:rPr>
            </w:pPr>
            <w:r>
              <w:rPr>
                <w:rFonts w:hint="eastAsia" w:ascii="宋体" w:hAnsi="宋体" w:cs="宋体"/>
                <w:kern w:val="0"/>
                <w:szCs w:val="21"/>
              </w:rPr>
              <w:t>光纤交换机</w:t>
            </w:r>
          </w:p>
        </w:tc>
        <w:tc>
          <w:tcPr>
            <w:tcW w:w="1134"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宋体" w:hAnsi="宋体" w:cs="宋体"/>
                <w:kern w:val="0"/>
                <w:szCs w:val="21"/>
              </w:rPr>
            </w:pPr>
            <w:r>
              <w:rPr>
                <w:rFonts w:hint="eastAsia" w:ascii="宋体" w:hAnsi="宋体" w:cs="宋体"/>
                <w:kern w:val="0"/>
                <w:szCs w:val="21"/>
              </w:rPr>
              <w:t>2</w:t>
            </w:r>
          </w:p>
        </w:tc>
        <w:tc>
          <w:tcPr>
            <w:tcW w:w="1995" w:type="dxa"/>
            <w:tcBorders>
              <w:top w:val="single" w:color="auto" w:sz="4" w:space="0"/>
              <w:left w:val="nil"/>
              <w:bottom w:val="single" w:color="auto" w:sz="4" w:space="0"/>
              <w:right w:val="single" w:color="auto" w:sz="4" w:space="0"/>
            </w:tcBorders>
            <w:noWrap/>
            <w:vAlign w:val="center"/>
          </w:tcPr>
          <w:p>
            <w:pPr>
              <w:widowControl/>
              <w:ind w:firstLine="0" w:firstLineChars="0"/>
              <w:jc w:val="center"/>
              <w:rPr>
                <w:rFonts w:ascii="宋体" w:hAnsi="宋体" w:cs="宋体"/>
                <w:kern w:val="0"/>
                <w:szCs w:val="21"/>
              </w:rPr>
            </w:pPr>
            <w:r>
              <w:rPr>
                <w:rFonts w:hint="eastAsia" w:ascii="宋体" w:hAnsi="宋体" w:cs="宋体"/>
                <w:kern w:val="0"/>
                <w:szCs w:val="21"/>
              </w:rPr>
              <w:t>　</w:t>
            </w:r>
          </w:p>
        </w:tc>
      </w:tr>
      <w:tr>
        <w:tblPrEx>
          <w:tblCellMar>
            <w:top w:w="0" w:type="dxa"/>
            <w:left w:w="108" w:type="dxa"/>
            <w:bottom w:w="0" w:type="dxa"/>
            <w:right w:w="108" w:type="dxa"/>
          </w:tblCellMar>
        </w:tblPrEx>
        <w:trPr>
          <w:trHeight w:val="396" w:hRule="atLeast"/>
        </w:trPr>
        <w:tc>
          <w:tcPr>
            <w:tcW w:w="1149" w:type="dxa"/>
            <w:tcBorders>
              <w:top w:val="single" w:color="auto" w:sz="4" w:space="0"/>
              <w:left w:val="single" w:color="auto" w:sz="4" w:space="0"/>
              <w:bottom w:val="single" w:color="auto" w:sz="4" w:space="0"/>
              <w:right w:val="single" w:color="auto" w:sz="4" w:space="0"/>
            </w:tcBorders>
            <w:noWrap/>
            <w:vAlign w:val="bottom"/>
          </w:tcPr>
          <w:p>
            <w:pPr>
              <w:widowControl/>
              <w:ind w:firstLine="0" w:firstLineChars="0"/>
              <w:jc w:val="center"/>
              <w:rPr>
                <w:rFonts w:ascii="宋体" w:hAnsi="宋体" w:cs="宋体"/>
                <w:kern w:val="0"/>
                <w:szCs w:val="21"/>
              </w:rPr>
            </w:pPr>
            <w:r>
              <w:rPr>
                <w:rFonts w:hint="eastAsia" w:ascii="宋体" w:hAnsi="宋体" w:cs="宋体"/>
                <w:kern w:val="0"/>
                <w:szCs w:val="21"/>
              </w:rPr>
              <w:t>3</w:t>
            </w:r>
          </w:p>
        </w:tc>
        <w:tc>
          <w:tcPr>
            <w:tcW w:w="3969" w:type="dxa"/>
            <w:tcBorders>
              <w:top w:val="single" w:color="auto" w:sz="4" w:space="0"/>
              <w:left w:val="nil"/>
              <w:bottom w:val="single" w:color="auto" w:sz="4" w:space="0"/>
              <w:right w:val="single" w:color="auto" w:sz="4" w:space="0"/>
            </w:tcBorders>
            <w:noWrap/>
            <w:vAlign w:val="bottom"/>
          </w:tcPr>
          <w:p>
            <w:pPr>
              <w:widowControl/>
              <w:ind w:firstLine="0" w:firstLineChars="0"/>
              <w:jc w:val="center"/>
              <w:rPr>
                <w:rFonts w:ascii="宋体" w:hAnsi="宋体" w:cs="宋体"/>
                <w:kern w:val="0"/>
                <w:szCs w:val="21"/>
              </w:rPr>
            </w:pPr>
            <w:r>
              <w:rPr>
                <w:rFonts w:hint="eastAsia" w:ascii="宋体" w:hAnsi="宋体" w:cs="宋体"/>
                <w:kern w:val="0"/>
                <w:szCs w:val="21"/>
              </w:rPr>
              <w:t>云计算升级服务</w:t>
            </w:r>
          </w:p>
        </w:tc>
        <w:tc>
          <w:tcPr>
            <w:tcW w:w="1134" w:type="dxa"/>
            <w:tcBorders>
              <w:top w:val="single" w:color="auto" w:sz="4" w:space="0"/>
              <w:left w:val="nil"/>
              <w:bottom w:val="single" w:color="auto" w:sz="4" w:space="0"/>
              <w:right w:val="single" w:color="auto" w:sz="4" w:space="0"/>
            </w:tcBorders>
            <w:noWrap/>
            <w:vAlign w:val="bottom"/>
          </w:tcPr>
          <w:p>
            <w:pPr>
              <w:widowControl/>
              <w:ind w:firstLine="0" w:firstLineChars="0"/>
              <w:jc w:val="center"/>
              <w:rPr>
                <w:rFonts w:ascii="宋体" w:hAnsi="宋体" w:cs="宋体"/>
                <w:kern w:val="0"/>
                <w:szCs w:val="21"/>
              </w:rPr>
            </w:pPr>
            <w:r>
              <w:rPr>
                <w:rFonts w:hint="eastAsia" w:ascii="宋体" w:hAnsi="宋体" w:cs="宋体"/>
                <w:kern w:val="0"/>
                <w:szCs w:val="21"/>
              </w:rPr>
              <w:t>1</w:t>
            </w:r>
          </w:p>
        </w:tc>
        <w:tc>
          <w:tcPr>
            <w:tcW w:w="1995" w:type="dxa"/>
            <w:tcBorders>
              <w:top w:val="single" w:color="auto" w:sz="4" w:space="0"/>
              <w:left w:val="nil"/>
              <w:bottom w:val="single" w:color="auto" w:sz="4" w:space="0"/>
              <w:right w:val="single" w:color="auto" w:sz="4" w:space="0"/>
            </w:tcBorders>
            <w:noWrap/>
            <w:vAlign w:val="bottom"/>
          </w:tcPr>
          <w:p>
            <w:pPr>
              <w:widowControl/>
              <w:ind w:firstLine="0" w:firstLineChars="0"/>
              <w:jc w:val="left"/>
              <w:rPr>
                <w:rFonts w:ascii="宋体" w:hAnsi="宋体" w:cs="宋体"/>
                <w:kern w:val="0"/>
                <w:szCs w:val="21"/>
              </w:rPr>
            </w:pPr>
            <w:r>
              <w:rPr>
                <w:rFonts w:hint="eastAsia" w:ascii="宋体" w:hAnsi="宋体" w:cs="宋体"/>
                <w:kern w:val="0"/>
                <w:szCs w:val="21"/>
              </w:rPr>
              <w:t>　</w:t>
            </w:r>
          </w:p>
        </w:tc>
      </w:tr>
    </w:tbl>
    <w:p>
      <w:pPr>
        <w:pStyle w:val="31"/>
        <w:snapToGrid w:val="0"/>
        <w:spacing w:line="360" w:lineRule="auto"/>
        <w:rPr>
          <w:rFonts w:asciiTheme="minorEastAsia" w:hAnsiTheme="minorEastAsia" w:eastAsiaTheme="minorEastAsia" w:cstheme="minorEastAsia"/>
          <w:b/>
          <w:sz w:val="21"/>
          <w:szCs w:val="21"/>
          <w:lang w:eastAsia="zh-CN"/>
        </w:rPr>
      </w:pPr>
    </w:p>
    <w:p>
      <w:pPr>
        <w:pStyle w:val="31"/>
        <w:snapToGrid w:val="0"/>
        <w:spacing w:line="360" w:lineRule="auto"/>
        <w:rPr>
          <w:rFonts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具体参数要求：</w:t>
      </w:r>
    </w:p>
    <w:p>
      <w:pPr>
        <w:pStyle w:val="31"/>
        <w:snapToGrid w:val="0"/>
        <w:spacing w:line="360" w:lineRule="auto"/>
        <w:rPr>
          <w:rFonts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1、私有云服务器（3台）</w:t>
      </w:r>
    </w:p>
    <w:tbl>
      <w:tblPr>
        <w:tblStyle w:val="26"/>
        <w:tblW w:w="5000" w:type="pct"/>
        <w:tblInd w:w="0" w:type="dxa"/>
        <w:tblLayout w:type="autofit"/>
        <w:tblCellMar>
          <w:top w:w="0" w:type="dxa"/>
          <w:left w:w="108" w:type="dxa"/>
          <w:bottom w:w="0" w:type="dxa"/>
          <w:right w:w="108" w:type="dxa"/>
        </w:tblCellMar>
      </w:tblPr>
      <w:tblGrid>
        <w:gridCol w:w="1102"/>
        <w:gridCol w:w="1134"/>
        <w:gridCol w:w="1276"/>
        <w:gridCol w:w="5016"/>
      </w:tblGrid>
      <w:tr>
        <w:tblPrEx>
          <w:tblCellMar>
            <w:top w:w="0" w:type="dxa"/>
            <w:left w:w="108" w:type="dxa"/>
            <w:bottom w:w="0" w:type="dxa"/>
            <w:right w:w="108" w:type="dxa"/>
          </w:tblCellMar>
        </w:tblPrEx>
        <w:trPr>
          <w:trHeight w:val="270" w:hRule="atLeast"/>
        </w:trPr>
        <w:tc>
          <w:tcPr>
            <w:tcW w:w="646" w:type="pct"/>
            <w:tcBorders>
              <w:top w:val="single" w:color="000000" w:sz="4" w:space="0"/>
              <w:left w:val="single" w:color="000000" w:sz="4" w:space="0"/>
              <w:bottom w:val="single" w:color="000000" w:sz="4" w:space="0"/>
              <w:right w:val="single" w:color="000000" w:sz="4" w:space="0"/>
            </w:tcBorders>
            <w:shd w:val="clear" w:color="000000" w:fill="FFFFFF"/>
          </w:tcPr>
          <w:p>
            <w:pPr>
              <w:widowControl/>
              <w:ind w:firstLine="0" w:firstLineChars="0"/>
              <w:jc w:val="center"/>
              <w:rPr>
                <w:rFonts w:ascii="宋体" w:hAnsi="宋体" w:eastAsia="宋体" w:cs="宋体"/>
                <w:b/>
                <w:color w:val="000000" w:themeColor="text1"/>
                <w:kern w:val="0"/>
                <w:sz w:val="20"/>
                <w:szCs w:val="20"/>
              </w:rPr>
            </w:pPr>
            <w:r>
              <w:rPr>
                <w:rFonts w:hint="eastAsia" w:ascii="宋体" w:hAnsi="宋体" w:eastAsia="宋体" w:cs="宋体"/>
                <w:b/>
                <w:color w:val="000000" w:themeColor="text1"/>
                <w:kern w:val="0"/>
                <w:sz w:val="20"/>
                <w:szCs w:val="20"/>
              </w:rPr>
              <w:t>序号</w:t>
            </w:r>
          </w:p>
        </w:tc>
        <w:tc>
          <w:tcPr>
            <w:tcW w:w="1413" w:type="pct"/>
            <w:gridSpan w:val="2"/>
            <w:tcBorders>
              <w:top w:val="single" w:color="000000" w:sz="4" w:space="0"/>
              <w:left w:val="single" w:color="000000" w:sz="4" w:space="0"/>
              <w:bottom w:val="single" w:color="000000" w:sz="4" w:space="0"/>
              <w:right w:val="single" w:color="000000" w:sz="4" w:space="0"/>
            </w:tcBorders>
            <w:shd w:val="clear" w:color="000000" w:fill="FFFFFF"/>
            <w:vAlign w:val="bottom"/>
          </w:tcPr>
          <w:p>
            <w:pPr>
              <w:widowControl/>
              <w:ind w:firstLine="0" w:firstLineChars="0"/>
              <w:jc w:val="center"/>
              <w:rPr>
                <w:rFonts w:ascii="宋体" w:hAnsi="宋体" w:eastAsia="宋体" w:cs="宋体"/>
                <w:b/>
                <w:color w:val="000000" w:themeColor="text1"/>
                <w:kern w:val="0"/>
                <w:sz w:val="20"/>
                <w:szCs w:val="20"/>
              </w:rPr>
            </w:pPr>
            <w:r>
              <w:rPr>
                <w:rFonts w:hint="eastAsia" w:ascii="宋体" w:hAnsi="宋体" w:eastAsia="宋体" w:cs="宋体"/>
                <w:b/>
                <w:color w:val="000000" w:themeColor="text1"/>
                <w:kern w:val="0"/>
                <w:sz w:val="20"/>
                <w:szCs w:val="20"/>
              </w:rPr>
              <w:t>指标项目</w:t>
            </w:r>
          </w:p>
        </w:tc>
        <w:tc>
          <w:tcPr>
            <w:tcW w:w="2941" w:type="pct"/>
            <w:tcBorders>
              <w:top w:val="single" w:color="000000" w:sz="4" w:space="0"/>
              <w:left w:val="nil"/>
              <w:bottom w:val="single" w:color="000000" w:sz="4" w:space="0"/>
              <w:right w:val="single" w:color="000000" w:sz="4" w:space="0"/>
            </w:tcBorders>
            <w:shd w:val="clear" w:color="000000" w:fill="FFFFFF"/>
            <w:noWrap/>
            <w:vAlign w:val="bottom"/>
          </w:tcPr>
          <w:p>
            <w:pPr>
              <w:widowControl/>
              <w:ind w:firstLine="0" w:firstLineChars="0"/>
              <w:jc w:val="center"/>
              <w:rPr>
                <w:rFonts w:ascii="宋体" w:hAnsi="宋体" w:eastAsia="宋体" w:cs="宋体"/>
                <w:b/>
                <w:color w:val="000000" w:themeColor="text1"/>
                <w:kern w:val="0"/>
                <w:sz w:val="20"/>
                <w:szCs w:val="20"/>
              </w:rPr>
            </w:pPr>
            <w:r>
              <w:rPr>
                <w:rFonts w:hint="eastAsia" w:ascii="宋体" w:hAnsi="宋体" w:eastAsia="宋体" w:cs="宋体"/>
                <w:b/>
                <w:color w:val="000000" w:themeColor="text1"/>
                <w:kern w:val="0"/>
                <w:sz w:val="20"/>
                <w:szCs w:val="20"/>
              </w:rPr>
              <w:t>指标要求</w:t>
            </w:r>
          </w:p>
        </w:tc>
      </w:tr>
      <w:tr>
        <w:tblPrEx>
          <w:tblCellMar>
            <w:top w:w="0" w:type="dxa"/>
            <w:left w:w="108" w:type="dxa"/>
            <w:bottom w:w="0" w:type="dxa"/>
            <w:right w:w="108" w:type="dxa"/>
          </w:tblCellMar>
        </w:tblPrEx>
        <w:trPr>
          <w:trHeight w:val="285" w:hRule="atLeast"/>
        </w:trPr>
        <w:tc>
          <w:tcPr>
            <w:tcW w:w="646" w:type="pct"/>
            <w:tcBorders>
              <w:top w:val="single" w:color="000000" w:sz="4" w:space="0"/>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w:t>
            </w:r>
          </w:p>
        </w:tc>
        <w:tc>
          <w:tcPr>
            <w:tcW w:w="1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基本要求★</w:t>
            </w:r>
          </w:p>
        </w:tc>
        <w:tc>
          <w:tcPr>
            <w:tcW w:w="2941" w:type="pct"/>
            <w:tcBorders>
              <w:top w:val="nil"/>
              <w:left w:val="nil"/>
              <w:bottom w:val="single" w:color="000000" w:sz="4" w:space="0"/>
              <w:right w:val="single" w:color="000000" w:sz="4" w:space="0"/>
            </w:tcBorders>
            <w:shd w:val="clear" w:color="auto" w:fill="auto"/>
            <w:noWrap/>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所有服务器同一品牌</w:t>
            </w:r>
          </w:p>
        </w:tc>
      </w:tr>
      <w:tr>
        <w:tblPrEx>
          <w:tblCellMar>
            <w:top w:w="0" w:type="dxa"/>
            <w:left w:w="108" w:type="dxa"/>
            <w:bottom w:w="0" w:type="dxa"/>
            <w:right w:w="108" w:type="dxa"/>
          </w:tblCellMar>
        </w:tblPrEx>
        <w:trPr>
          <w:trHeight w:val="285" w:hRule="atLeast"/>
        </w:trPr>
        <w:tc>
          <w:tcPr>
            <w:tcW w:w="646" w:type="pct"/>
            <w:tcBorders>
              <w:top w:val="single" w:color="000000" w:sz="4" w:space="0"/>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w:t>
            </w:r>
          </w:p>
        </w:tc>
        <w:tc>
          <w:tcPr>
            <w:tcW w:w="1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数量★</w:t>
            </w:r>
          </w:p>
        </w:tc>
        <w:tc>
          <w:tcPr>
            <w:tcW w:w="2941" w:type="pct"/>
            <w:tcBorders>
              <w:top w:val="nil"/>
              <w:left w:val="nil"/>
              <w:bottom w:val="single" w:color="000000" w:sz="4" w:space="0"/>
              <w:right w:val="single" w:color="000000" w:sz="4" w:space="0"/>
            </w:tcBorders>
            <w:shd w:val="clear" w:color="auto" w:fill="auto"/>
            <w:noWrap/>
            <w:vAlign w:val="center"/>
          </w:tcPr>
          <w:p>
            <w:pPr>
              <w:widowControl/>
              <w:ind w:firstLine="0" w:firstLineChars="0"/>
              <w:jc w:val="left"/>
              <w:rPr>
                <w:rFonts w:ascii="宋体" w:hAnsi="宋体" w:eastAsia="宋体" w:cs="宋体"/>
                <w:color w:val="000000" w:themeColor="text1"/>
                <w:kern w:val="0"/>
                <w:sz w:val="20"/>
                <w:szCs w:val="20"/>
              </w:rPr>
            </w:pPr>
            <w:r>
              <w:rPr>
                <w:rFonts w:ascii="宋体" w:hAnsi="宋体" w:eastAsia="宋体" w:cs="宋体"/>
                <w:color w:val="000000" w:themeColor="text1"/>
                <w:kern w:val="0"/>
                <w:sz w:val="20"/>
                <w:szCs w:val="20"/>
              </w:rPr>
              <w:t>2</w:t>
            </w:r>
            <w:r>
              <w:rPr>
                <w:rFonts w:hint="eastAsia" w:ascii="宋体" w:hAnsi="宋体" w:eastAsia="宋体" w:cs="宋体"/>
                <w:color w:val="000000" w:themeColor="text1"/>
                <w:kern w:val="0"/>
                <w:sz w:val="20"/>
                <w:szCs w:val="20"/>
              </w:rPr>
              <w:t>台</w:t>
            </w:r>
          </w:p>
        </w:tc>
      </w:tr>
      <w:tr>
        <w:tblPrEx>
          <w:tblCellMar>
            <w:top w:w="0" w:type="dxa"/>
            <w:left w:w="108" w:type="dxa"/>
            <w:bottom w:w="0" w:type="dxa"/>
            <w:right w:w="108" w:type="dxa"/>
          </w:tblCellMar>
        </w:tblPrEx>
        <w:trPr>
          <w:trHeight w:val="270" w:hRule="atLeast"/>
        </w:trPr>
        <w:tc>
          <w:tcPr>
            <w:tcW w:w="646" w:type="pct"/>
            <w:tcBorders>
              <w:top w:val="nil"/>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w:t>
            </w:r>
          </w:p>
        </w:tc>
        <w:tc>
          <w:tcPr>
            <w:tcW w:w="665" w:type="pct"/>
            <w:tcBorders>
              <w:top w:val="nil"/>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外观</w:t>
            </w: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机架式</w:t>
            </w:r>
          </w:p>
        </w:tc>
        <w:tc>
          <w:tcPr>
            <w:tcW w:w="2941" w:type="pct"/>
            <w:tcBorders>
              <w:top w:val="nil"/>
              <w:left w:val="nil"/>
              <w:bottom w:val="single" w:color="000000" w:sz="4" w:space="0"/>
              <w:right w:val="single" w:color="000000" w:sz="4" w:space="0"/>
            </w:tcBorders>
            <w:shd w:val="clear" w:color="auto" w:fill="auto"/>
            <w:noWrap/>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高度不超过</w:t>
            </w:r>
            <w:r>
              <w:rPr>
                <w:rFonts w:ascii="宋体" w:hAnsi="宋体" w:eastAsia="宋体" w:cs="宋体"/>
                <w:color w:val="000000" w:themeColor="text1"/>
                <w:kern w:val="0"/>
                <w:sz w:val="20"/>
                <w:szCs w:val="20"/>
              </w:rPr>
              <w:t>2U</w:t>
            </w:r>
            <w:r>
              <w:rPr>
                <w:rFonts w:hint="eastAsia" w:ascii="宋体" w:hAnsi="宋体" w:eastAsia="宋体" w:cs="宋体"/>
                <w:color w:val="000000" w:themeColor="text1"/>
                <w:kern w:val="0"/>
                <w:sz w:val="20"/>
                <w:szCs w:val="20"/>
              </w:rPr>
              <w:t>机架式，带导轨</w:t>
            </w:r>
          </w:p>
        </w:tc>
      </w:tr>
      <w:tr>
        <w:tblPrEx>
          <w:tblCellMar>
            <w:top w:w="0" w:type="dxa"/>
            <w:left w:w="108" w:type="dxa"/>
            <w:bottom w:w="0" w:type="dxa"/>
            <w:right w:w="108" w:type="dxa"/>
          </w:tblCellMar>
        </w:tblPrEx>
        <w:trPr>
          <w:trHeight w:val="270" w:hRule="atLeast"/>
        </w:trPr>
        <w:tc>
          <w:tcPr>
            <w:tcW w:w="646" w:type="pct"/>
            <w:tcBorders>
              <w:top w:val="nil"/>
              <w:left w:val="single" w:color="000000" w:sz="4" w:space="0"/>
              <w:right w:val="single" w:color="000000" w:sz="4" w:space="0"/>
            </w:tcBorders>
          </w:tcPr>
          <w:p>
            <w:pPr>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w:t>
            </w:r>
          </w:p>
        </w:tc>
        <w:tc>
          <w:tcPr>
            <w:tcW w:w="665" w:type="pct"/>
            <w:vMerge w:val="restart"/>
            <w:tcBorders>
              <w:top w:val="nil"/>
              <w:left w:val="single" w:color="000000" w:sz="4" w:space="0"/>
              <w:right w:val="single" w:color="000000" w:sz="4" w:space="0"/>
            </w:tcBorders>
            <w:shd w:val="clear" w:color="auto" w:fill="auto"/>
            <w:vAlign w:val="center"/>
          </w:tcPr>
          <w:p>
            <w:pPr>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处理器</w:t>
            </w: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芯片组★</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Intel</w:t>
            </w:r>
            <w:r>
              <w:rPr>
                <w:rFonts w:ascii="宋体" w:hAnsi="宋体" w:eastAsia="宋体" w:cs="宋体"/>
                <w:color w:val="000000" w:themeColor="text1"/>
                <w:kern w:val="0"/>
                <w:sz w:val="20"/>
                <w:szCs w:val="20"/>
              </w:rPr>
              <w:t xml:space="preserve"> C624</w:t>
            </w:r>
            <w:r>
              <w:rPr>
                <w:rFonts w:hint="eastAsia" w:ascii="宋体" w:hAnsi="宋体" w:eastAsia="宋体" w:cs="宋体"/>
                <w:color w:val="000000" w:themeColor="text1"/>
                <w:kern w:val="0"/>
                <w:sz w:val="20"/>
                <w:szCs w:val="20"/>
              </w:rPr>
              <w:t>芯片组</w:t>
            </w:r>
          </w:p>
        </w:tc>
      </w:tr>
      <w:tr>
        <w:tblPrEx>
          <w:tblCellMar>
            <w:top w:w="0" w:type="dxa"/>
            <w:left w:w="108" w:type="dxa"/>
            <w:bottom w:w="0" w:type="dxa"/>
            <w:right w:w="108" w:type="dxa"/>
          </w:tblCellMar>
        </w:tblPrEx>
        <w:trPr>
          <w:trHeight w:val="270" w:hRule="atLeast"/>
        </w:trPr>
        <w:tc>
          <w:tcPr>
            <w:tcW w:w="646" w:type="pct"/>
            <w:tcBorders>
              <w:left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continue"/>
            <w:tcBorders>
              <w:left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处理器类型</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支持</w:t>
            </w:r>
            <w:r>
              <w:rPr>
                <w:rFonts w:ascii="宋体" w:hAnsi="宋体" w:eastAsia="宋体" w:cs="宋体"/>
                <w:color w:val="000000" w:themeColor="text1"/>
                <w:kern w:val="0"/>
                <w:sz w:val="20"/>
                <w:szCs w:val="20"/>
              </w:rPr>
              <w:t>Intel Xeon Scalable</w:t>
            </w:r>
            <w:r>
              <w:rPr>
                <w:rFonts w:hint="eastAsia" w:ascii="宋体" w:hAnsi="宋体" w:eastAsia="宋体" w:cs="宋体"/>
                <w:color w:val="000000" w:themeColor="text1"/>
                <w:kern w:val="0"/>
                <w:sz w:val="20"/>
                <w:szCs w:val="20"/>
              </w:rPr>
              <w:t>全系列</w:t>
            </w:r>
            <w:r>
              <w:rPr>
                <w:rFonts w:ascii="宋体" w:hAnsi="宋体" w:eastAsia="宋体" w:cs="宋体"/>
                <w:color w:val="000000" w:themeColor="text1"/>
                <w:kern w:val="0"/>
                <w:sz w:val="20"/>
                <w:szCs w:val="20"/>
              </w:rPr>
              <w:t>处理器</w:t>
            </w:r>
            <w:r>
              <w:rPr>
                <w:rFonts w:hint="eastAsia" w:ascii="宋体" w:hAnsi="宋体" w:eastAsia="宋体" w:cs="宋体"/>
                <w:color w:val="000000" w:themeColor="text1"/>
                <w:kern w:val="0"/>
                <w:sz w:val="20"/>
                <w:szCs w:val="20"/>
              </w:rPr>
              <w:t>，</w:t>
            </w:r>
            <w:r>
              <w:rPr>
                <w:rFonts w:ascii="宋体" w:hAnsi="宋体" w:eastAsia="宋体" w:cs="宋体"/>
                <w:color w:val="000000" w:themeColor="text1"/>
                <w:kern w:val="0"/>
                <w:sz w:val="20"/>
                <w:szCs w:val="20"/>
              </w:rPr>
              <w:t>最大支持2</w:t>
            </w:r>
            <w:r>
              <w:rPr>
                <w:rFonts w:hint="eastAsia" w:ascii="宋体" w:hAnsi="宋体" w:eastAsia="宋体" w:cs="宋体"/>
                <w:color w:val="000000" w:themeColor="text1"/>
                <w:kern w:val="0"/>
                <w:sz w:val="20"/>
                <w:szCs w:val="20"/>
              </w:rPr>
              <w:t>个全系列</w:t>
            </w:r>
            <w:r>
              <w:rPr>
                <w:rFonts w:ascii="宋体" w:hAnsi="宋体" w:eastAsia="宋体" w:cs="宋体"/>
                <w:color w:val="000000" w:themeColor="text1"/>
                <w:kern w:val="0"/>
                <w:sz w:val="20"/>
                <w:szCs w:val="20"/>
              </w:rPr>
              <w:t>处理器扩展。</w:t>
            </w:r>
          </w:p>
        </w:tc>
      </w:tr>
      <w:tr>
        <w:tblPrEx>
          <w:tblCellMar>
            <w:top w:w="0" w:type="dxa"/>
            <w:left w:w="108" w:type="dxa"/>
            <w:bottom w:w="0" w:type="dxa"/>
            <w:right w:w="108" w:type="dxa"/>
          </w:tblCellMar>
        </w:tblPrEx>
        <w:trPr>
          <w:trHeight w:val="270" w:hRule="atLeast"/>
        </w:trPr>
        <w:tc>
          <w:tcPr>
            <w:tcW w:w="646" w:type="pct"/>
            <w:tcBorders>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continue"/>
            <w:tcBorders>
              <w:left w:val="single" w:color="000000" w:sz="4" w:space="0"/>
              <w:bottom w:val="single" w:color="000000" w:sz="4" w:space="0"/>
              <w:right w:val="single" w:color="000000" w:sz="4" w:space="0"/>
            </w:tcBorders>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处理器配置数目★</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配置</w:t>
            </w:r>
            <w:r>
              <w:rPr>
                <w:rFonts w:ascii="宋体" w:hAnsi="宋体" w:eastAsia="宋体" w:cs="宋体"/>
                <w:color w:val="000000" w:themeColor="text1"/>
                <w:kern w:val="0"/>
                <w:sz w:val="20"/>
                <w:szCs w:val="20"/>
              </w:rPr>
              <w:t>2</w:t>
            </w:r>
            <w:r>
              <w:rPr>
                <w:rFonts w:hint="eastAsia" w:ascii="宋体" w:hAnsi="宋体" w:eastAsia="宋体" w:cs="宋体"/>
                <w:color w:val="000000" w:themeColor="text1"/>
                <w:kern w:val="0"/>
                <w:sz w:val="20"/>
                <w:szCs w:val="20"/>
              </w:rPr>
              <w:t xml:space="preserve">颗Intel Xeon </w:t>
            </w:r>
            <w:r>
              <w:rPr>
                <w:rFonts w:ascii="宋体" w:hAnsi="宋体" w:eastAsia="宋体" w:cs="宋体"/>
                <w:color w:val="000000" w:themeColor="text1"/>
                <w:kern w:val="0"/>
                <w:sz w:val="20"/>
                <w:szCs w:val="20"/>
              </w:rPr>
              <w:t xml:space="preserve">Scalable </w:t>
            </w:r>
            <w:r>
              <w:rPr>
                <w:rFonts w:hint="eastAsia" w:ascii="宋体" w:hAnsi="宋体" w:eastAsia="宋体" w:cs="宋体"/>
                <w:color w:val="000000" w:themeColor="text1"/>
                <w:kern w:val="0"/>
                <w:sz w:val="20"/>
                <w:szCs w:val="20"/>
              </w:rPr>
              <w:t>sil</w:t>
            </w:r>
            <w:r>
              <w:rPr>
                <w:rFonts w:ascii="宋体" w:hAnsi="宋体" w:eastAsia="宋体" w:cs="宋体"/>
                <w:color w:val="000000" w:themeColor="text1"/>
                <w:kern w:val="0"/>
                <w:sz w:val="20"/>
                <w:szCs w:val="20"/>
              </w:rPr>
              <w:t xml:space="preserve">ver </w:t>
            </w:r>
            <w:r>
              <w:rPr>
                <w:rFonts w:hint="eastAsia" w:ascii="宋体" w:hAnsi="宋体" w:eastAsia="宋体" w:cs="宋体"/>
                <w:color w:val="000000" w:themeColor="text1"/>
                <w:kern w:val="0"/>
                <w:sz w:val="20"/>
                <w:szCs w:val="20"/>
              </w:rPr>
              <w:t>4210（</w:t>
            </w:r>
            <w:r>
              <w:rPr>
                <w:rFonts w:ascii="宋体" w:hAnsi="宋体" w:eastAsia="宋体" w:cs="宋体"/>
                <w:color w:val="000000" w:themeColor="text1"/>
                <w:kern w:val="0"/>
                <w:sz w:val="20"/>
                <w:szCs w:val="20"/>
              </w:rPr>
              <w:t>10</w:t>
            </w:r>
            <w:r>
              <w:rPr>
                <w:rFonts w:hint="eastAsia" w:ascii="宋体" w:hAnsi="宋体" w:eastAsia="宋体" w:cs="宋体"/>
                <w:color w:val="000000" w:themeColor="text1"/>
                <w:kern w:val="0"/>
                <w:sz w:val="20"/>
                <w:szCs w:val="20"/>
              </w:rPr>
              <w:t>核，2</w:t>
            </w:r>
            <w:r>
              <w:rPr>
                <w:rFonts w:ascii="宋体" w:hAnsi="宋体" w:eastAsia="宋体" w:cs="宋体"/>
                <w:color w:val="000000" w:themeColor="text1"/>
                <w:kern w:val="0"/>
                <w:sz w:val="20"/>
                <w:szCs w:val="20"/>
              </w:rPr>
              <w:t>.2</w:t>
            </w:r>
            <w:r>
              <w:rPr>
                <w:rFonts w:hint="eastAsia" w:ascii="宋体" w:hAnsi="宋体" w:eastAsia="宋体" w:cs="宋体"/>
                <w:color w:val="000000" w:themeColor="text1"/>
                <w:kern w:val="0"/>
                <w:sz w:val="20"/>
                <w:szCs w:val="20"/>
              </w:rPr>
              <w:t>GH</w:t>
            </w:r>
            <w:r>
              <w:rPr>
                <w:rFonts w:ascii="宋体" w:hAnsi="宋体" w:eastAsia="宋体" w:cs="宋体"/>
                <w:color w:val="000000" w:themeColor="text1"/>
                <w:kern w:val="0"/>
                <w:sz w:val="20"/>
                <w:szCs w:val="20"/>
              </w:rPr>
              <w:t>z</w:t>
            </w:r>
            <w:r>
              <w:rPr>
                <w:rFonts w:hint="eastAsia" w:ascii="宋体" w:hAnsi="宋体" w:eastAsia="宋体" w:cs="宋体"/>
                <w:color w:val="000000" w:themeColor="text1"/>
                <w:kern w:val="0"/>
                <w:sz w:val="20"/>
                <w:szCs w:val="20"/>
              </w:rPr>
              <w:t>主频）处理器。</w:t>
            </w:r>
          </w:p>
        </w:tc>
      </w:tr>
      <w:tr>
        <w:tblPrEx>
          <w:tblCellMar>
            <w:top w:w="0" w:type="dxa"/>
            <w:left w:w="108" w:type="dxa"/>
            <w:bottom w:w="0" w:type="dxa"/>
            <w:right w:w="108" w:type="dxa"/>
          </w:tblCellMar>
        </w:tblPrEx>
        <w:trPr>
          <w:trHeight w:val="480" w:hRule="atLeast"/>
        </w:trPr>
        <w:tc>
          <w:tcPr>
            <w:tcW w:w="646" w:type="pct"/>
            <w:vMerge w:val="restart"/>
            <w:tcBorders>
              <w:top w:val="nil"/>
              <w:left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w:t>
            </w:r>
          </w:p>
        </w:tc>
        <w:tc>
          <w:tcPr>
            <w:tcW w:w="665"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内存</w:t>
            </w: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内存类型★</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w:t>
            </w:r>
            <w:r>
              <w:rPr>
                <w:rFonts w:ascii="宋体" w:hAnsi="宋体" w:eastAsia="宋体" w:cs="宋体"/>
                <w:color w:val="000000" w:themeColor="text1"/>
                <w:kern w:val="0"/>
                <w:sz w:val="20"/>
                <w:szCs w:val="20"/>
              </w:rPr>
              <w:t>24</w:t>
            </w:r>
            <w:r>
              <w:rPr>
                <w:rFonts w:hint="eastAsia" w:ascii="宋体" w:hAnsi="宋体" w:eastAsia="宋体" w:cs="宋体"/>
                <w:color w:val="000000" w:themeColor="text1"/>
                <w:kern w:val="0"/>
                <w:sz w:val="20"/>
                <w:szCs w:val="20"/>
              </w:rPr>
              <w:t>个DDR4内存插槽，最大支持</w:t>
            </w:r>
            <w:r>
              <w:rPr>
                <w:rFonts w:ascii="宋体" w:hAnsi="宋体" w:eastAsia="宋体" w:cs="宋体"/>
                <w:color w:val="000000" w:themeColor="text1"/>
                <w:kern w:val="0"/>
                <w:sz w:val="20"/>
                <w:szCs w:val="20"/>
              </w:rPr>
              <w:t>3</w:t>
            </w:r>
            <w:r>
              <w:rPr>
                <w:rFonts w:hint="eastAsia" w:ascii="宋体" w:hAnsi="宋体" w:eastAsia="宋体" w:cs="宋体"/>
                <w:color w:val="000000" w:themeColor="text1"/>
                <w:kern w:val="0"/>
                <w:sz w:val="20"/>
                <w:szCs w:val="20"/>
              </w:rPr>
              <w:t>TB内存，支持</w:t>
            </w:r>
            <w:r>
              <w:rPr>
                <w:rFonts w:ascii="宋体" w:hAnsi="宋体" w:eastAsia="宋体" w:cs="宋体"/>
                <w:color w:val="000000" w:themeColor="text1"/>
                <w:kern w:val="0"/>
                <w:sz w:val="20"/>
                <w:szCs w:val="20"/>
              </w:rPr>
              <w:t>2666 MHz</w:t>
            </w:r>
            <w:r>
              <w:rPr>
                <w:rFonts w:hint="eastAsia" w:ascii="宋体" w:hAnsi="宋体" w:eastAsia="宋体" w:cs="宋体"/>
                <w:color w:val="000000" w:themeColor="text1"/>
                <w:kern w:val="0"/>
                <w:sz w:val="20"/>
                <w:szCs w:val="20"/>
              </w:rPr>
              <w:t>内存。</w:t>
            </w:r>
            <w:r>
              <w:rPr>
                <w:rFonts w:hint="eastAsia" w:ascii="宋体" w:hAnsi="宋体" w:eastAsia="宋体" w:cs="宋体"/>
                <w:color w:val="000000" w:themeColor="text1"/>
                <w:kern w:val="0"/>
                <w:sz w:val="20"/>
                <w:szCs w:val="20"/>
              </w:rPr>
              <w:br w:type="textWrapping"/>
            </w:r>
            <w:r>
              <w:rPr>
                <w:rFonts w:hint="eastAsia" w:ascii="宋体" w:hAnsi="宋体" w:eastAsia="宋体" w:cs="宋体"/>
                <w:color w:val="000000" w:themeColor="text1"/>
                <w:kern w:val="0"/>
                <w:sz w:val="20"/>
                <w:szCs w:val="20"/>
              </w:rPr>
              <w:t>当前配置</w:t>
            </w:r>
            <w:r>
              <w:rPr>
                <w:rFonts w:ascii="宋体" w:hAnsi="宋体" w:eastAsia="宋体" w:cs="宋体"/>
                <w:color w:val="000000" w:themeColor="text1"/>
                <w:kern w:val="0"/>
                <w:sz w:val="20"/>
                <w:szCs w:val="20"/>
              </w:rPr>
              <w:t>256</w:t>
            </w:r>
            <w:r>
              <w:rPr>
                <w:rFonts w:hint="eastAsia" w:ascii="宋体" w:hAnsi="宋体" w:eastAsia="宋体" w:cs="宋体"/>
                <w:color w:val="000000" w:themeColor="text1"/>
                <w:kern w:val="0"/>
                <w:sz w:val="20"/>
                <w:szCs w:val="20"/>
              </w:rPr>
              <w:t>GB</w:t>
            </w:r>
            <w:r>
              <w:rPr>
                <w:rFonts w:ascii="宋体" w:hAnsi="宋体" w:eastAsia="宋体" w:cs="宋体"/>
                <w:color w:val="000000" w:themeColor="text1"/>
                <w:kern w:val="0"/>
                <w:sz w:val="20"/>
                <w:szCs w:val="20"/>
              </w:rPr>
              <w:t xml:space="preserve"> DDR4</w:t>
            </w:r>
            <w:r>
              <w:rPr>
                <w:rFonts w:hint="eastAsia" w:ascii="宋体" w:hAnsi="宋体" w:eastAsia="宋体" w:cs="宋体"/>
                <w:color w:val="000000" w:themeColor="text1"/>
                <w:kern w:val="0"/>
                <w:sz w:val="20"/>
                <w:szCs w:val="20"/>
              </w:rPr>
              <w:t>内存。</w:t>
            </w:r>
          </w:p>
        </w:tc>
      </w:tr>
      <w:tr>
        <w:tblPrEx>
          <w:tblCellMar>
            <w:top w:w="0" w:type="dxa"/>
            <w:left w:w="108" w:type="dxa"/>
            <w:bottom w:w="0" w:type="dxa"/>
            <w:right w:w="108" w:type="dxa"/>
          </w:tblCellMar>
        </w:tblPrEx>
        <w:trPr>
          <w:trHeight w:val="270" w:hRule="atLeast"/>
        </w:trPr>
        <w:tc>
          <w:tcPr>
            <w:tcW w:w="646" w:type="pct"/>
            <w:vMerge w:val="continue"/>
            <w:tcBorders>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continue"/>
            <w:tcBorders>
              <w:top w:val="nil"/>
              <w:left w:val="single" w:color="000000" w:sz="4" w:space="0"/>
              <w:bottom w:val="single" w:color="000000" w:sz="4" w:space="0"/>
              <w:right w:val="single" w:color="000000" w:sz="4" w:space="0"/>
            </w:tcBorders>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内存保护技术</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支持</w:t>
            </w:r>
            <w:r>
              <w:rPr>
                <w:rFonts w:ascii="宋体" w:hAnsi="宋体" w:eastAsia="宋体" w:cs="宋体"/>
                <w:color w:val="000000" w:themeColor="text1"/>
                <w:kern w:val="0"/>
                <w:sz w:val="20"/>
                <w:szCs w:val="20"/>
              </w:rPr>
              <w:t>ECC</w:t>
            </w:r>
            <w:r>
              <w:rPr>
                <w:rFonts w:hint="eastAsia" w:ascii="宋体" w:hAnsi="宋体" w:eastAsia="宋体" w:cs="宋体"/>
                <w:color w:val="000000" w:themeColor="text1"/>
                <w:kern w:val="0"/>
                <w:sz w:val="20"/>
                <w:szCs w:val="20"/>
              </w:rPr>
              <w:t>、镜像及热备等高级内存保护技术。</w:t>
            </w:r>
          </w:p>
        </w:tc>
      </w:tr>
      <w:tr>
        <w:tblPrEx>
          <w:tblCellMar>
            <w:top w:w="0" w:type="dxa"/>
            <w:left w:w="108" w:type="dxa"/>
            <w:bottom w:w="0" w:type="dxa"/>
            <w:right w:w="108" w:type="dxa"/>
          </w:tblCellMar>
        </w:tblPrEx>
        <w:trPr>
          <w:trHeight w:val="1639" w:hRule="atLeast"/>
        </w:trPr>
        <w:tc>
          <w:tcPr>
            <w:tcW w:w="646" w:type="pct"/>
            <w:vMerge w:val="restart"/>
            <w:tcBorders>
              <w:top w:val="nil"/>
              <w:left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w:t>
            </w:r>
          </w:p>
        </w:tc>
        <w:tc>
          <w:tcPr>
            <w:tcW w:w="665"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磁盘</w:t>
            </w:r>
            <w:r>
              <w:rPr>
                <w:rFonts w:ascii="宋体" w:hAnsi="宋体" w:eastAsia="宋体" w:cs="宋体"/>
                <w:color w:val="000000" w:themeColor="text1"/>
                <w:kern w:val="0"/>
                <w:sz w:val="20"/>
                <w:szCs w:val="20"/>
              </w:rPr>
              <w:t>I/O</w:t>
            </w: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内置硬盘类型▲</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ascii="宋体" w:hAnsi="宋体" w:eastAsia="宋体" w:cs="宋体"/>
                <w:color w:val="000000" w:themeColor="text1"/>
                <w:kern w:val="0"/>
                <w:sz w:val="20"/>
                <w:szCs w:val="20"/>
              </w:rPr>
              <w:t>最大支持24个</w:t>
            </w:r>
            <w:r>
              <w:rPr>
                <w:rFonts w:hint="eastAsia" w:ascii="宋体" w:hAnsi="宋体" w:eastAsia="宋体" w:cs="宋体"/>
                <w:color w:val="000000" w:themeColor="text1"/>
                <w:kern w:val="0"/>
                <w:sz w:val="20"/>
                <w:szCs w:val="20"/>
              </w:rPr>
              <w:t>2.5英寸</w:t>
            </w:r>
            <w:r>
              <w:rPr>
                <w:rFonts w:ascii="宋体" w:hAnsi="宋体" w:eastAsia="宋体" w:cs="宋体"/>
                <w:color w:val="000000" w:themeColor="text1"/>
                <w:kern w:val="0"/>
                <w:sz w:val="20"/>
                <w:szCs w:val="20"/>
              </w:rPr>
              <w:t>硬盘</w:t>
            </w:r>
            <w:r>
              <w:rPr>
                <w:rFonts w:hint="eastAsia" w:ascii="宋体" w:hAnsi="宋体" w:eastAsia="宋体" w:cs="宋体"/>
                <w:color w:val="000000" w:themeColor="text1"/>
                <w:kern w:val="0"/>
                <w:sz w:val="20"/>
                <w:szCs w:val="20"/>
              </w:rPr>
              <w:t>和2块3.5英寸</w:t>
            </w:r>
            <w:r>
              <w:rPr>
                <w:rFonts w:ascii="宋体" w:hAnsi="宋体" w:eastAsia="宋体" w:cs="宋体"/>
                <w:color w:val="000000" w:themeColor="text1"/>
                <w:kern w:val="0"/>
                <w:sz w:val="20"/>
                <w:szCs w:val="20"/>
              </w:rPr>
              <w:t>硬盘</w:t>
            </w:r>
            <w:r>
              <w:rPr>
                <w:rFonts w:hint="eastAsia" w:ascii="宋体" w:hAnsi="宋体" w:eastAsia="宋体" w:cs="宋体"/>
                <w:color w:val="000000" w:themeColor="text1"/>
                <w:kern w:val="0"/>
                <w:sz w:val="20"/>
                <w:szCs w:val="20"/>
              </w:rPr>
              <w:t>或者14块3.5英寸</w:t>
            </w:r>
            <w:r>
              <w:rPr>
                <w:rFonts w:ascii="宋体" w:hAnsi="宋体" w:eastAsia="宋体" w:cs="宋体"/>
                <w:color w:val="000000" w:themeColor="text1"/>
                <w:kern w:val="0"/>
                <w:sz w:val="20"/>
                <w:szCs w:val="20"/>
              </w:rPr>
              <w:t>硬盘，支持前置直连U.2 NVMe SSD硬盘。支持内置两个M.2 且支持RAID 0/1</w:t>
            </w:r>
            <w:r>
              <w:rPr>
                <w:rFonts w:hint="eastAsia" w:ascii="宋体" w:hAnsi="宋体" w:eastAsia="宋体" w:cs="宋体"/>
                <w:color w:val="000000" w:themeColor="text1"/>
                <w:kern w:val="0"/>
                <w:sz w:val="20"/>
                <w:szCs w:val="20"/>
              </w:rPr>
              <w:t>；</w:t>
            </w:r>
            <w:r>
              <w:rPr>
                <w:rFonts w:ascii="宋体" w:hAnsi="宋体" w:eastAsia="宋体" w:cs="宋体"/>
                <w:color w:val="000000" w:themeColor="text1"/>
                <w:kern w:val="0"/>
                <w:sz w:val="20"/>
                <w:szCs w:val="20"/>
              </w:rPr>
              <w:t>提供ANYBAY技术可切换SAS/SATA/U.2硬盘不用更换背板</w:t>
            </w:r>
            <w:r>
              <w:rPr>
                <w:rFonts w:hint="eastAsia" w:ascii="宋体" w:hAnsi="宋体" w:eastAsia="宋体" w:cs="宋体"/>
                <w:color w:val="000000" w:themeColor="text1"/>
                <w:kern w:val="0"/>
                <w:sz w:val="20"/>
                <w:szCs w:val="20"/>
              </w:rPr>
              <w:t>。（需提供原厂官方资料或彩页并加盖原厂公章）</w:t>
            </w:r>
          </w:p>
        </w:tc>
      </w:tr>
      <w:tr>
        <w:tblPrEx>
          <w:tblCellMar>
            <w:top w:w="0" w:type="dxa"/>
            <w:left w:w="108" w:type="dxa"/>
            <w:bottom w:w="0" w:type="dxa"/>
            <w:right w:w="108" w:type="dxa"/>
          </w:tblCellMar>
        </w:tblPrEx>
        <w:trPr>
          <w:trHeight w:val="410" w:hRule="atLeast"/>
        </w:trPr>
        <w:tc>
          <w:tcPr>
            <w:tcW w:w="646" w:type="pct"/>
            <w:vMerge w:val="continue"/>
            <w:tcBorders>
              <w:left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continue"/>
            <w:tcBorders>
              <w:left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ascii="宋体" w:hAnsi="宋体" w:eastAsia="宋体" w:cs="宋体"/>
                <w:color w:val="000000" w:themeColor="text1"/>
                <w:kern w:val="0"/>
                <w:sz w:val="20"/>
                <w:szCs w:val="20"/>
              </w:rPr>
              <w:t>硬盘配置</w:t>
            </w:r>
            <w:r>
              <w:rPr>
                <w:rFonts w:hint="eastAsia" w:ascii="宋体" w:hAnsi="宋体" w:eastAsia="宋体" w:cs="宋体"/>
                <w:color w:val="000000" w:themeColor="text1"/>
                <w:kern w:val="0"/>
                <w:sz w:val="20"/>
                <w:szCs w:val="20"/>
              </w:rPr>
              <w:t>★</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本次配置</w:t>
            </w:r>
            <w:r>
              <w:rPr>
                <w:rFonts w:ascii="宋体" w:hAnsi="宋体" w:eastAsia="宋体" w:cs="宋体"/>
                <w:color w:val="000000" w:themeColor="text1"/>
                <w:kern w:val="0"/>
                <w:sz w:val="20"/>
                <w:szCs w:val="20"/>
              </w:rPr>
              <w:t>3</w:t>
            </w:r>
            <w:r>
              <w:rPr>
                <w:rFonts w:hint="eastAsia" w:ascii="宋体" w:hAnsi="宋体" w:eastAsia="宋体" w:cs="宋体"/>
                <w:color w:val="000000" w:themeColor="text1"/>
                <w:kern w:val="0"/>
                <w:sz w:val="20"/>
                <w:szCs w:val="20"/>
              </w:rPr>
              <w:t>块</w:t>
            </w:r>
            <w:r>
              <w:rPr>
                <w:rFonts w:ascii="宋体" w:hAnsi="宋体" w:eastAsia="宋体" w:cs="宋体"/>
                <w:color w:val="000000" w:themeColor="text1"/>
                <w:kern w:val="0"/>
                <w:sz w:val="20"/>
                <w:szCs w:val="20"/>
              </w:rPr>
              <w:t>2.4TB 10K SAS</w:t>
            </w:r>
            <w:r>
              <w:rPr>
                <w:rFonts w:hint="eastAsia" w:ascii="宋体" w:hAnsi="宋体" w:eastAsia="宋体" w:cs="宋体"/>
                <w:color w:val="000000" w:themeColor="text1"/>
                <w:kern w:val="0"/>
                <w:sz w:val="20"/>
                <w:szCs w:val="20"/>
              </w:rPr>
              <w:t>硬盘</w:t>
            </w:r>
          </w:p>
        </w:tc>
      </w:tr>
      <w:tr>
        <w:tblPrEx>
          <w:tblCellMar>
            <w:top w:w="0" w:type="dxa"/>
            <w:left w:w="108" w:type="dxa"/>
            <w:bottom w:w="0" w:type="dxa"/>
            <w:right w:w="108" w:type="dxa"/>
          </w:tblCellMar>
        </w:tblPrEx>
        <w:trPr>
          <w:trHeight w:val="510" w:hRule="atLeast"/>
        </w:trPr>
        <w:tc>
          <w:tcPr>
            <w:tcW w:w="646" w:type="pct"/>
            <w:vMerge w:val="continue"/>
            <w:tcBorders>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continue"/>
            <w:tcBorders>
              <w:top w:val="nil"/>
              <w:left w:val="single" w:color="000000" w:sz="4" w:space="0"/>
              <w:bottom w:val="single" w:color="000000" w:sz="4" w:space="0"/>
              <w:right w:val="single" w:color="000000" w:sz="4" w:space="0"/>
            </w:tcBorders>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阵列控制器★</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配置1块独立12G</w:t>
            </w:r>
            <w:r>
              <w:rPr>
                <w:rFonts w:ascii="宋体" w:hAnsi="宋体" w:eastAsia="宋体" w:cs="宋体"/>
                <w:color w:val="000000" w:themeColor="text1"/>
                <w:kern w:val="0"/>
                <w:sz w:val="20"/>
                <w:szCs w:val="20"/>
              </w:rPr>
              <w:t>bps</w:t>
            </w:r>
            <w:r>
              <w:rPr>
                <w:rFonts w:hint="eastAsia" w:ascii="宋体" w:hAnsi="宋体" w:eastAsia="宋体" w:cs="宋体"/>
                <w:color w:val="000000" w:themeColor="text1"/>
                <w:kern w:val="0"/>
                <w:sz w:val="20"/>
                <w:szCs w:val="20"/>
              </w:rPr>
              <w:t>阵列控制器，支持RAID 0/1/10/5等功能，</w:t>
            </w:r>
            <w:r>
              <w:rPr>
                <w:rFonts w:ascii="宋体" w:hAnsi="宋体" w:eastAsia="宋体" w:cs="宋体"/>
                <w:color w:val="000000" w:themeColor="text1"/>
                <w:kern w:val="0"/>
                <w:sz w:val="20"/>
                <w:szCs w:val="20"/>
              </w:rPr>
              <w:t>1</w:t>
            </w:r>
            <w:r>
              <w:rPr>
                <w:rFonts w:hint="eastAsia" w:ascii="宋体" w:hAnsi="宋体" w:eastAsia="宋体" w:cs="宋体"/>
                <w:color w:val="000000" w:themeColor="text1"/>
                <w:kern w:val="0"/>
                <w:sz w:val="20"/>
                <w:szCs w:val="20"/>
              </w:rPr>
              <w:t>GB</w:t>
            </w:r>
            <w:r>
              <w:rPr>
                <w:rFonts w:ascii="宋体" w:hAnsi="宋体" w:eastAsia="宋体" w:cs="宋体"/>
                <w:color w:val="000000" w:themeColor="text1"/>
                <w:kern w:val="0"/>
                <w:sz w:val="20"/>
                <w:szCs w:val="20"/>
              </w:rPr>
              <w:t xml:space="preserve"> </w:t>
            </w:r>
            <w:r>
              <w:rPr>
                <w:rFonts w:hint="eastAsia" w:ascii="宋体" w:hAnsi="宋体" w:eastAsia="宋体" w:cs="宋体"/>
                <w:color w:val="000000" w:themeColor="text1"/>
                <w:kern w:val="0"/>
                <w:sz w:val="20"/>
                <w:szCs w:val="20"/>
              </w:rPr>
              <w:t>cache</w:t>
            </w:r>
            <w:r>
              <w:rPr>
                <w:rFonts w:ascii="宋体" w:hAnsi="宋体" w:eastAsia="宋体" w:cs="宋体"/>
                <w:color w:val="000000" w:themeColor="text1"/>
                <w:kern w:val="0"/>
                <w:sz w:val="20"/>
                <w:szCs w:val="20"/>
              </w:rPr>
              <w:t>缓存。</w:t>
            </w:r>
          </w:p>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可选R</w:t>
            </w:r>
            <w:r>
              <w:rPr>
                <w:rFonts w:ascii="宋体" w:hAnsi="宋体" w:eastAsia="宋体" w:cs="宋体"/>
                <w:color w:val="000000" w:themeColor="text1"/>
                <w:kern w:val="0"/>
                <w:sz w:val="20"/>
                <w:szCs w:val="20"/>
              </w:rPr>
              <w:t>AID 6/60</w:t>
            </w:r>
            <w:r>
              <w:rPr>
                <w:rFonts w:hint="eastAsia" w:ascii="宋体" w:hAnsi="宋体" w:eastAsia="宋体" w:cs="宋体"/>
                <w:color w:val="000000" w:themeColor="text1"/>
                <w:kern w:val="0"/>
                <w:sz w:val="20"/>
                <w:szCs w:val="20"/>
              </w:rPr>
              <w:t>，最大支持</w:t>
            </w:r>
            <w:r>
              <w:rPr>
                <w:rFonts w:ascii="宋体" w:hAnsi="宋体" w:eastAsia="宋体" w:cs="宋体"/>
                <w:color w:val="000000" w:themeColor="text1"/>
                <w:kern w:val="0"/>
                <w:sz w:val="20"/>
                <w:szCs w:val="20"/>
              </w:rPr>
              <w:t>8GB F</w:t>
            </w:r>
            <w:r>
              <w:rPr>
                <w:rFonts w:hint="eastAsia" w:ascii="宋体" w:hAnsi="宋体" w:eastAsia="宋体" w:cs="宋体"/>
                <w:color w:val="000000" w:themeColor="text1"/>
                <w:kern w:val="0"/>
                <w:sz w:val="20"/>
                <w:szCs w:val="20"/>
              </w:rPr>
              <w:t>lash缓存。</w:t>
            </w:r>
          </w:p>
        </w:tc>
      </w:tr>
      <w:tr>
        <w:tblPrEx>
          <w:tblCellMar>
            <w:top w:w="0" w:type="dxa"/>
            <w:left w:w="108" w:type="dxa"/>
            <w:bottom w:w="0" w:type="dxa"/>
            <w:right w:w="108" w:type="dxa"/>
          </w:tblCellMar>
        </w:tblPrEx>
        <w:trPr>
          <w:trHeight w:val="270" w:hRule="atLeast"/>
        </w:trPr>
        <w:tc>
          <w:tcPr>
            <w:tcW w:w="646" w:type="pct"/>
            <w:tcBorders>
              <w:top w:val="nil"/>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w:t>
            </w:r>
          </w:p>
        </w:tc>
        <w:tc>
          <w:tcPr>
            <w:tcW w:w="665" w:type="pct"/>
            <w:tcBorders>
              <w:top w:val="nil"/>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ascii="宋体" w:hAnsi="宋体" w:eastAsia="宋体" w:cs="宋体"/>
                <w:color w:val="000000" w:themeColor="text1"/>
                <w:kern w:val="0"/>
                <w:sz w:val="20"/>
                <w:szCs w:val="20"/>
              </w:rPr>
              <w:t>I/O</w:t>
            </w:r>
            <w:r>
              <w:rPr>
                <w:rFonts w:hint="eastAsia" w:ascii="宋体" w:hAnsi="宋体" w:eastAsia="宋体" w:cs="宋体"/>
                <w:color w:val="000000" w:themeColor="text1"/>
                <w:kern w:val="0"/>
                <w:sz w:val="20"/>
                <w:szCs w:val="20"/>
              </w:rPr>
              <w:t>扩展</w:t>
            </w: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ascii="宋体" w:hAnsi="宋体" w:eastAsia="宋体" w:cs="宋体"/>
                <w:color w:val="000000" w:themeColor="text1"/>
                <w:kern w:val="0"/>
                <w:sz w:val="20"/>
                <w:szCs w:val="20"/>
              </w:rPr>
              <w:t>PCI I/O</w:t>
            </w:r>
            <w:r>
              <w:rPr>
                <w:rFonts w:hint="eastAsia" w:ascii="宋体" w:hAnsi="宋体" w:eastAsia="宋体" w:cs="宋体"/>
                <w:color w:val="000000" w:themeColor="text1"/>
                <w:kern w:val="0"/>
                <w:sz w:val="20"/>
                <w:szCs w:val="20"/>
              </w:rPr>
              <w:t>插槽</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支持≥</w:t>
            </w:r>
            <w:r>
              <w:rPr>
                <w:rFonts w:ascii="宋体" w:hAnsi="宋体" w:eastAsia="宋体" w:cs="宋体"/>
                <w:color w:val="000000" w:themeColor="text1"/>
                <w:kern w:val="0"/>
                <w:sz w:val="20"/>
                <w:szCs w:val="20"/>
              </w:rPr>
              <w:t>7</w:t>
            </w:r>
            <w:r>
              <w:rPr>
                <w:rFonts w:hint="eastAsia" w:ascii="宋体" w:hAnsi="宋体" w:eastAsia="宋体" w:cs="宋体"/>
                <w:color w:val="000000" w:themeColor="text1"/>
                <w:kern w:val="0"/>
                <w:sz w:val="20"/>
                <w:szCs w:val="20"/>
              </w:rPr>
              <w:t>个</w:t>
            </w:r>
            <w:r>
              <w:rPr>
                <w:rFonts w:ascii="宋体" w:hAnsi="宋体" w:eastAsia="宋体" w:cs="宋体"/>
                <w:color w:val="000000" w:themeColor="text1"/>
                <w:kern w:val="0"/>
                <w:sz w:val="20"/>
                <w:szCs w:val="20"/>
              </w:rPr>
              <w:t>PCIe 3.0</w:t>
            </w:r>
            <w:r>
              <w:rPr>
                <w:rFonts w:hint="eastAsia" w:ascii="宋体" w:hAnsi="宋体" w:eastAsia="宋体" w:cs="宋体"/>
                <w:color w:val="000000" w:themeColor="text1"/>
                <w:kern w:val="0"/>
                <w:sz w:val="20"/>
                <w:szCs w:val="20"/>
              </w:rPr>
              <w:t>插槽；</w:t>
            </w:r>
            <w:r>
              <w:rPr>
                <w:rFonts w:ascii="宋体" w:hAnsi="宋体" w:eastAsia="宋体" w:cs="宋体"/>
                <w:color w:val="000000" w:themeColor="text1"/>
                <w:kern w:val="0"/>
                <w:sz w:val="20"/>
                <w:szCs w:val="20"/>
              </w:rPr>
              <w:t>支持</w:t>
            </w:r>
            <w:r>
              <w:rPr>
                <w:rFonts w:hint="eastAsia" w:ascii="宋体" w:hAnsi="宋体" w:eastAsia="宋体" w:cs="宋体"/>
                <w:color w:val="000000" w:themeColor="text1"/>
                <w:kern w:val="0"/>
                <w:sz w:val="20"/>
                <w:szCs w:val="20"/>
              </w:rPr>
              <w:t>选件扩展</w:t>
            </w:r>
            <w:r>
              <w:rPr>
                <w:rFonts w:ascii="宋体" w:hAnsi="宋体" w:eastAsia="宋体" w:cs="宋体"/>
                <w:color w:val="000000" w:themeColor="text1"/>
                <w:kern w:val="0"/>
                <w:sz w:val="20"/>
                <w:szCs w:val="20"/>
              </w:rPr>
              <w:t>2-4</w:t>
            </w:r>
            <w:r>
              <w:rPr>
                <w:rFonts w:hint="eastAsia" w:ascii="宋体" w:hAnsi="宋体" w:eastAsia="宋体" w:cs="宋体"/>
                <w:color w:val="000000" w:themeColor="text1"/>
                <w:kern w:val="0"/>
                <w:sz w:val="20"/>
                <w:szCs w:val="20"/>
              </w:rPr>
              <w:t>个</w:t>
            </w:r>
            <w:r>
              <w:rPr>
                <w:rFonts w:ascii="宋体" w:hAnsi="宋体" w:eastAsia="宋体" w:cs="宋体"/>
                <w:color w:val="000000" w:themeColor="text1"/>
                <w:kern w:val="0"/>
                <w:sz w:val="20"/>
                <w:szCs w:val="20"/>
              </w:rPr>
              <w:t>1Gb/10Gb</w:t>
            </w:r>
            <w:r>
              <w:rPr>
                <w:rFonts w:hint="eastAsia" w:ascii="宋体" w:hAnsi="宋体" w:eastAsia="宋体" w:cs="宋体"/>
                <w:color w:val="000000" w:themeColor="text1"/>
                <w:kern w:val="0"/>
                <w:sz w:val="20"/>
                <w:szCs w:val="20"/>
              </w:rPr>
              <w:t>网口，并且不占主板插槽</w:t>
            </w:r>
          </w:p>
        </w:tc>
      </w:tr>
      <w:tr>
        <w:tblPrEx>
          <w:tblCellMar>
            <w:top w:w="0" w:type="dxa"/>
            <w:left w:w="108" w:type="dxa"/>
            <w:bottom w:w="0" w:type="dxa"/>
            <w:right w:w="108" w:type="dxa"/>
          </w:tblCellMar>
        </w:tblPrEx>
        <w:trPr>
          <w:trHeight w:val="301" w:hRule="atLeast"/>
        </w:trPr>
        <w:tc>
          <w:tcPr>
            <w:tcW w:w="646" w:type="pct"/>
            <w:tcBorders>
              <w:top w:val="single" w:color="000000" w:sz="4" w:space="0"/>
              <w:left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w:t>
            </w:r>
          </w:p>
        </w:tc>
        <w:tc>
          <w:tcPr>
            <w:tcW w:w="665" w:type="pct"/>
            <w:vMerge w:val="restart"/>
            <w:tcBorders>
              <w:top w:val="single" w:color="000000" w:sz="4" w:space="0"/>
              <w:left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网络</w:t>
            </w: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网卡★</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配置四口千兆以太网卡</w:t>
            </w:r>
            <w:r>
              <w:rPr>
                <w:rFonts w:ascii="宋体" w:hAnsi="宋体" w:eastAsia="宋体" w:cs="宋体"/>
                <w:color w:val="000000" w:themeColor="text1"/>
                <w:kern w:val="0"/>
                <w:sz w:val="20"/>
                <w:szCs w:val="20"/>
              </w:rPr>
              <w:t>；</w:t>
            </w:r>
          </w:p>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配置1个千兆专用管理端口。</w:t>
            </w:r>
          </w:p>
        </w:tc>
      </w:tr>
      <w:tr>
        <w:tblPrEx>
          <w:tblCellMar>
            <w:top w:w="0" w:type="dxa"/>
            <w:left w:w="108" w:type="dxa"/>
            <w:bottom w:w="0" w:type="dxa"/>
            <w:right w:w="108" w:type="dxa"/>
          </w:tblCellMar>
        </w:tblPrEx>
        <w:trPr>
          <w:trHeight w:val="270" w:hRule="atLeast"/>
        </w:trPr>
        <w:tc>
          <w:tcPr>
            <w:tcW w:w="646" w:type="pct"/>
            <w:tcBorders>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continue"/>
            <w:tcBorders>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H</w:t>
            </w:r>
            <w:r>
              <w:rPr>
                <w:rFonts w:ascii="宋体" w:hAnsi="宋体" w:eastAsia="宋体" w:cs="宋体"/>
                <w:color w:val="000000" w:themeColor="text1"/>
                <w:kern w:val="0"/>
                <w:sz w:val="20"/>
                <w:szCs w:val="20"/>
              </w:rPr>
              <w:t>BA</w:t>
            </w:r>
            <w:r>
              <w:rPr>
                <w:rFonts w:hint="eastAsia" w:ascii="宋体" w:hAnsi="宋体" w:eastAsia="宋体" w:cs="宋体"/>
                <w:color w:val="000000" w:themeColor="text1"/>
                <w:kern w:val="0"/>
                <w:sz w:val="20"/>
                <w:szCs w:val="20"/>
              </w:rPr>
              <w:t>卡★</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配置</w:t>
            </w:r>
            <w:r>
              <w:rPr>
                <w:rFonts w:ascii="宋体" w:hAnsi="宋体" w:eastAsia="宋体" w:cs="宋体"/>
                <w:color w:val="000000" w:themeColor="text1"/>
                <w:kern w:val="0"/>
                <w:sz w:val="20"/>
                <w:szCs w:val="20"/>
              </w:rPr>
              <w:t>1</w:t>
            </w:r>
            <w:r>
              <w:rPr>
                <w:rFonts w:hint="eastAsia" w:ascii="宋体" w:hAnsi="宋体" w:eastAsia="宋体" w:cs="宋体"/>
                <w:color w:val="000000" w:themeColor="text1"/>
                <w:kern w:val="0"/>
                <w:sz w:val="20"/>
                <w:szCs w:val="20"/>
              </w:rPr>
              <w:t>块双口</w:t>
            </w:r>
            <w:r>
              <w:rPr>
                <w:rFonts w:ascii="宋体" w:hAnsi="宋体" w:eastAsia="宋体" w:cs="宋体"/>
                <w:color w:val="000000" w:themeColor="text1"/>
                <w:kern w:val="0"/>
                <w:sz w:val="20"/>
                <w:szCs w:val="20"/>
              </w:rPr>
              <w:t>16G</w:t>
            </w:r>
            <w:r>
              <w:rPr>
                <w:rFonts w:hint="eastAsia" w:ascii="宋体" w:hAnsi="宋体" w:eastAsia="宋体" w:cs="宋体"/>
                <w:color w:val="000000" w:themeColor="text1"/>
                <w:kern w:val="0"/>
                <w:sz w:val="20"/>
                <w:szCs w:val="20"/>
              </w:rPr>
              <w:t>b</w:t>
            </w:r>
            <w:r>
              <w:rPr>
                <w:rFonts w:ascii="宋体" w:hAnsi="宋体" w:eastAsia="宋体" w:cs="宋体"/>
                <w:color w:val="000000" w:themeColor="text1"/>
                <w:kern w:val="0"/>
                <w:sz w:val="20"/>
                <w:szCs w:val="20"/>
              </w:rPr>
              <w:t xml:space="preserve"> HBA</w:t>
            </w:r>
            <w:r>
              <w:rPr>
                <w:rFonts w:hint="eastAsia" w:ascii="宋体" w:hAnsi="宋体" w:eastAsia="宋体" w:cs="宋体"/>
                <w:color w:val="000000" w:themeColor="text1"/>
                <w:kern w:val="0"/>
                <w:sz w:val="20"/>
                <w:szCs w:val="20"/>
              </w:rPr>
              <w:t>卡</w:t>
            </w:r>
          </w:p>
        </w:tc>
      </w:tr>
      <w:tr>
        <w:tblPrEx>
          <w:tblCellMar>
            <w:top w:w="0" w:type="dxa"/>
            <w:left w:w="108" w:type="dxa"/>
            <w:bottom w:w="0" w:type="dxa"/>
            <w:right w:w="108" w:type="dxa"/>
          </w:tblCellMar>
        </w:tblPrEx>
        <w:trPr>
          <w:trHeight w:val="270" w:hRule="atLeast"/>
        </w:trPr>
        <w:tc>
          <w:tcPr>
            <w:tcW w:w="646" w:type="pct"/>
            <w:tcBorders>
              <w:top w:val="single" w:color="000000" w:sz="4" w:space="0"/>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电源</w:t>
            </w: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电源</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配置冗余高能效转换电源，实现1+1冗余，</w:t>
            </w:r>
            <w:r>
              <w:rPr>
                <w:rFonts w:ascii="宋体" w:hAnsi="宋体" w:eastAsia="宋体" w:cs="宋体"/>
                <w:color w:val="000000" w:themeColor="text1"/>
                <w:kern w:val="0"/>
                <w:sz w:val="20"/>
                <w:szCs w:val="20"/>
              </w:rPr>
              <w:t>单个电源功率不低于750</w:t>
            </w:r>
            <w:r>
              <w:rPr>
                <w:rFonts w:hint="eastAsia" w:ascii="宋体" w:hAnsi="宋体" w:eastAsia="宋体" w:cs="宋体"/>
                <w:color w:val="000000" w:themeColor="text1"/>
                <w:kern w:val="0"/>
                <w:sz w:val="20"/>
                <w:szCs w:val="20"/>
              </w:rPr>
              <w:t>W。支持2</w:t>
            </w:r>
            <w:r>
              <w:rPr>
                <w:rFonts w:ascii="宋体" w:hAnsi="宋体" w:eastAsia="宋体" w:cs="宋体"/>
                <w:color w:val="000000" w:themeColor="text1"/>
                <w:kern w:val="0"/>
                <w:sz w:val="20"/>
                <w:szCs w:val="20"/>
              </w:rPr>
              <w:t>40V</w:t>
            </w:r>
            <w:r>
              <w:rPr>
                <w:rFonts w:hint="eastAsia" w:ascii="宋体" w:hAnsi="宋体" w:eastAsia="宋体" w:cs="宋体"/>
                <w:color w:val="000000" w:themeColor="text1"/>
                <w:kern w:val="0"/>
                <w:sz w:val="20"/>
                <w:szCs w:val="20"/>
              </w:rPr>
              <w:t>高压直流。</w:t>
            </w:r>
          </w:p>
        </w:tc>
      </w:tr>
      <w:tr>
        <w:tblPrEx>
          <w:tblCellMar>
            <w:top w:w="0" w:type="dxa"/>
            <w:left w:w="108" w:type="dxa"/>
            <w:bottom w:w="0" w:type="dxa"/>
            <w:right w:w="108" w:type="dxa"/>
          </w:tblCellMar>
        </w:tblPrEx>
        <w:trPr>
          <w:trHeight w:val="270" w:hRule="atLeast"/>
        </w:trPr>
        <w:tc>
          <w:tcPr>
            <w:tcW w:w="646" w:type="pct"/>
            <w:vMerge w:val="restart"/>
            <w:tcBorders>
              <w:top w:val="nil"/>
              <w:left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101</w:t>
            </w:r>
          </w:p>
        </w:tc>
        <w:tc>
          <w:tcPr>
            <w:tcW w:w="665" w:type="pct"/>
            <w:vMerge w:val="restart"/>
            <w:tcBorders>
              <w:top w:val="nil"/>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扩展性</w:t>
            </w: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冷却</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CPU、内存具有独立冷却通道</w:t>
            </w:r>
          </w:p>
        </w:tc>
      </w:tr>
      <w:tr>
        <w:tblPrEx>
          <w:tblCellMar>
            <w:top w:w="0" w:type="dxa"/>
            <w:left w:w="108" w:type="dxa"/>
            <w:bottom w:w="0" w:type="dxa"/>
            <w:right w:w="108" w:type="dxa"/>
          </w:tblCellMar>
        </w:tblPrEx>
        <w:trPr>
          <w:trHeight w:val="270" w:hRule="atLeast"/>
        </w:trPr>
        <w:tc>
          <w:tcPr>
            <w:tcW w:w="646" w:type="pct"/>
            <w:vMerge w:val="continue"/>
            <w:tcBorders>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continue"/>
            <w:tcBorders>
              <w:top w:val="nil"/>
              <w:left w:val="single" w:color="000000" w:sz="4" w:space="0"/>
              <w:bottom w:val="single" w:color="000000" w:sz="4" w:space="0"/>
              <w:right w:val="single" w:color="000000" w:sz="4" w:space="0"/>
            </w:tcBorders>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扩展▲</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支持≥</w:t>
            </w:r>
            <w:r>
              <w:rPr>
                <w:rFonts w:ascii="宋体" w:hAnsi="宋体" w:eastAsia="宋体" w:cs="宋体"/>
                <w:color w:val="000000" w:themeColor="text1"/>
                <w:kern w:val="0"/>
                <w:sz w:val="20"/>
                <w:szCs w:val="20"/>
              </w:rPr>
              <w:t>3</w:t>
            </w:r>
            <w:r>
              <w:rPr>
                <w:rFonts w:hint="eastAsia" w:ascii="宋体" w:hAnsi="宋体" w:eastAsia="宋体" w:cs="宋体"/>
                <w:color w:val="000000" w:themeColor="text1"/>
                <w:kern w:val="0"/>
                <w:sz w:val="20"/>
                <w:szCs w:val="20"/>
              </w:rPr>
              <w:t>块GPU扩展；</w:t>
            </w:r>
          </w:p>
        </w:tc>
      </w:tr>
      <w:tr>
        <w:tblPrEx>
          <w:tblCellMar>
            <w:top w:w="0" w:type="dxa"/>
            <w:left w:w="108" w:type="dxa"/>
            <w:bottom w:w="0" w:type="dxa"/>
            <w:right w:w="108" w:type="dxa"/>
          </w:tblCellMar>
        </w:tblPrEx>
        <w:trPr>
          <w:trHeight w:val="360" w:hRule="atLeast"/>
        </w:trPr>
        <w:tc>
          <w:tcPr>
            <w:tcW w:w="646" w:type="pct"/>
            <w:tcBorders>
              <w:top w:val="nil"/>
              <w:left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restart"/>
            <w:tcBorders>
              <w:top w:val="nil"/>
              <w:left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管理维护安全</w:t>
            </w: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可管理和维护性▲</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支持光通路诊断，集成系统管理控制器；</w:t>
            </w:r>
          </w:p>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提供独立前置U</w:t>
            </w:r>
            <w:r>
              <w:rPr>
                <w:rFonts w:ascii="宋体" w:hAnsi="宋体" w:eastAsia="宋体" w:cs="宋体"/>
                <w:color w:val="000000" w:themeColor="text1"/>
                <w:kern w:val="0"/>
                <w:sz w:val="20"/>
                <w:szCs w:val="20"/>
              </w:rPr>
              <w:t>SB</w:t>
            </w:r>
            <w:r>
              <w:rPr>
                <w:rFonts w:hint="eastAsia" w:ascii="宋体" w:hAnsi="宋体" w:eastAsia="宋体" w:cs="宋体"/>
                <w:color w:val="000000" w:themeColor="text1"/>
                <w:kern w:val="0"/>
                <w:sz w:val="20"/>
                <w:szCs w:val="20"/>
              </w:rPr>
              <w:t>端口</w:t>
            </w:r>
            <w:r>
              <w:rPr>
                <w:rFonts w:ascii="宋体" w:hAnsi="宋体" w:eastAsia="宋体" w:cs="宋体"/>
                <w:color w:val="000000" w:themeColor="text1"/>
                <w:kern w:val="0"/>
                <w:sz w:val="20"/>
                <w:szCs w:val="20"/>
              </w:rPr>
              <w:t>支持手机或者平板</w:t>
            </w:r>
            <w:r>
              <w:rPr>
                <w:rFonts w:hint="eastAsia" w:ascii="宋体" w:hAnsi="宋体" w:eastAsia="宋体" w:cs="宋体"/>
                <w:color w:val="000000" w:themeColor="text1"/>
                <w:kern w:val="0"/>
                <w:sz w:val="20"/>
                <w:szCs w:val="20"/>
              </w:rPr>
              <w:t>等</w:t>
            </w:r>
            <w:r>
              <w:rPr>
                <w:rFonts w:ascii="宋体" w:hAnsi="宋体" w:eastAsia="宋体" w:cs="宋体"/>
                <w:color w:val="000000" w:themeColor="text1"/>
                <w:kern w:val="0"/>
                <w:sz w:val="20"/>
                <w:szCs w:val="20"/>
              </w:rPr>
              <w:t>移动终端</w:t>
            </w:r>
            <w:r>
              <w:rPr>
                <w:rFonts w:hint="eastAsia" w:ascii="宋体" w:hAnsi="宋体" w:eastAsia="宋体" w:cs="宋体"/>
                <w:color w:val="000000" w:themeColor="text1"/>
                <w:kern w:val="0"/>
                <w:sz w:val="20"/>
                <w:szCs w:val="20"/>
              </w:rPr>
              <w:t>对服务器进行远程运维管理，提供且不限于服务器运行状态监控，远程查看以及日志信息采集等功能；</w:t>
            </w:r>
          </w:p>
          <w:p>
            <w:pPr>
              <w:widowControl/>
              <w:ind w:firstLine="0" w:firstLineChars="0"/>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手机/平板监控软件必须可以从app store以及安卓商城下载。（需提供软件下载链接界面及功能截图并加盖原厂公章）</w:t>
            </w:r>
          </w:p>
        </w:tc>
      </w:tr>
      <w:tr>
        <w:tblPrEx>
          <w:tblCellMar>
            <w:top w:w="0" w:type="dxa"/>
            <w:left w:w="108" w:type="dxa"/>
            <w:bottom w:w="0" w:type="dxa"/>
            <w:right w:w="108" w:type="dxa"/>
          </w:tblCellMar>
        </w:tblPrEx>
        <w:trPr>
          <w:trHeight w:val="360" w:hRule="atLeast"/>
        </w:trPr>
        <w:tc>
          <w:tcPr>
            <w:tcW w:w="646" w:type="pct"/>
            <w:tcBorders>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w:t>
            </w:r>
          </w:p>
        </w:tc>
        <w:tc>
          <w:tcPr>
            <w:tcW w:w="665" w:type="pct"/>
            <w:vMerge w:val="continue"/>
            <w:tcBorders>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nil"/>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管理</w:t>
            </w:r>
            <w:r>
              <w:rPr>
                <w:rFonts w:ascii="宋体" w:hAnsi="宋体" w:eastAsia="宋体" w:cs="宋体"/>
                <w:color w:val="000000" w:themeColor="text1"/>
                <w:kern w:val="0"/>
                <w:sz w:val="20"/>
                <w:szCs w:val="20"/>
              </w:rPr>
              <w:t>软件</w:t>
            </w:r>
            <w:r>
              <w:rPr>
                <w:rFonts w:hint="eastAsia" w:ascii="宋体" w:hAnsi="宋体" w:eastAsia="宋体" w:cs="宋体"/>
                <w:color w:val="000000" w:themeColor="text1"/>
                <w:kern w:val="0"/>
                <w:sz w:val="20"/>
                <w:szCs w:val="20"/>
              </w:rPr>
              <w:t>▲</w:t>
            </w:r>
          </w:p>
        </w:tc>
        <w:tc>
          <w:tcPr>
            <w:tcW w:w="2941" w:type="pct"/>
            <w:tcBorders>
              <w:top w:val="nil"/>
              <w:left w:val="nil"/>
              <w:bottom w:val="single" w:color="000000" w:sz="4" w:space="0"/>
              <w:right w:val="single" w:color="000000" w:sz="4" w:space="0"/>
            </w:tcBorders>
            <w:shd w:val="clear" w:color="auto" w:fill="auto"/>
            <w:vAlign w:val="center"/>
          </w:tcPr>
          <w:p>
            <w:pPr>
              <w:widowControl/>
              <w:ind w:firstLine="0" w:firstLineChars="0"/>
              <w:textAlignment w:val="center"/>
              <w:rPr>
                <w:rFonts w:ascii="宋体" w:hAnsi="宋体" w:eastAsia="宋体" w:cs="Times New Roman"/>
                <w:color w:val="000000" w:themeColor="text1"/>
                <w:kern w:val="0"/>
                <w:sz w:val="20"/>
                <w:szCs w:val="20"/>
              </w:rPr>
            </w:pPr>
            <w:r>
              <w:rPr>
                <w:rFonts w:ascii="宋体" w:hAnsi="宋体" w:eastAsia="宋体" w:cs="Times New Roman"/>
                <w:color w:val="000000" w:themeColor="text1"/>
                <w:kern w:val="0"/>
                <w:sz w:val="20"/>
                <w:szCs w:val="20"/>
              </w:rPr>
              <w:t>提供统一的管理平台，支持同品牌服务器的硬件配置、微码、操作系统的统一管理，支持批量推送操作系统、批量配置服务器UEFI（BIOS）、批量裸机操作系统；</w:t>
            </w:r>
          </w:p>
          <w:p>
            <w:pPr>
              <w:widowControl/>
              <w:ind w:firstLine="0" w:firstLineChars="0"/>
              <w:jc w:val="left"/>
              <w:rPr>
                <w:rFonts w:ascii="宋体" w:hAnsi="宋体" w:eastAsia="宋体" w:cs="Times New Roman"/>
                <w:color w:val="000000" w:themeColor="text1"/>
                <w:kern w:val="0"/>
                <w:sz w:val="20"/>
                <w:szCs w:val="20"/>
              </w:rPr>
            </w:pPr>
            <w:r>
              <w:rPr>
                <w:rFonts w:ascii="宋体" w:hAnsi="宋体" w:eastAsia="宋体" w:cs="Times New Roman"/>
                <w:color w:val="000000" w:themeColor="text1"/>
                <w:kern w:val="0"/>
                <w:sz w:val="20"/>
                <w:szCs w:val="20"/>
              </w:rPr>
              <w:t>提供管理软件可管理同品牌服务器、交换机与存储</w:t>
            </w:r>
            <w:r>
              <w:rPr>
                <w:rFonts w:hint="eastAsia" w:ascii="宋体" w:hAnsi="宋体" w:eastAsia="宋体" w:cs="Times New Roman"/>
                <w:color w:val="000000" w:themeColor="text1"/>
                <w:kern w:val="0"/>
                <w:sz w:val="20"/>
                <w:szCs w:val="20"/>
              </w:rPr>
              <w:t>，管理软件提供软件著作权证书。</w:t>
            </w:r>
          </w:p>
          <w:p>
            <w:pPr>
              <w:widowControl/>
              <w:ind w:firstLine="0" w:firstLineChars="0"/>
              <w:jc w:val="left"/>
              <w:rPr>
                <w:rFonts w:ascii="宋体" w:hAnsi="宋体" w:eastAsia="宋体" w:cs="Times New Roman"/>
                <w:color w:val="000000" w:themeColor="text1"/>
                <w:kern w:val="0"/>
                <w:sz w:val="20"/>
                <w:szCs w:val="20"/>
              </w:rPr>
            </w:pPr>
            <w:r>
              <w:rPr>
                <w:rFonts w:ascii="宋体" w:hAnsi="宋体" w:eastAsia="宋体" w:cs="Times New Roman"/>
                <w:color w:val="000000" w:themeColor="text1"/>
                <w:kern w:val="0"/>
                <w:sz w:val="20"/>
                <w:szCs w:val="20"/>
              </w:rPr>
              <w:t>支持向上集成统一管理功能，可和VMware vCenter和Microsoft System Center做到集成，由vCenter、MSC直接管理硬件，支持硬件故障自动预测功能，当虚拟机主机可能出现故障前自动发现隐患并提供报警和自动迁移虚机功能</w:t>
            </w:r>
            <w:r>
              <w:rPr>
                <w:rFonts w:hint="eastAsia" w:ascii="宋体" w:hAnsi="宋体" w:eastAsia="宋体" w:cs="Times New Roman"/>
                <w:color w:val="000000" w:themeColor="text1"/>
                <w:kern w:val="0"/>
                <w:sz w:val="20"/>
                <w:szCs w:val="20"/>
              </w:rPr>
              <w:t>。</w:t>
            </w:r>
          </w:p>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（需提供原厂官方资料或彩页并加盖原厂公章）</w:t>
            </w:r>
          </w:p>
        </w:tc>
      </w:tr>
      <w:tr>
        <w:tblPrEx>
          <w:tblCellMar>
            <w:top w:w="0" w:type="dxa"/>
            <w:left w:w="108" w:type="dxa"/>
            <w:bottom w:w="0" w:type="dxa"/>
            <w:right w:w="108" w:type="dxa"/>
          </w:tblCellMar>
        </w:tblPrEx>
        <w:trPr>
          <w:trHeight w:val="360" w:hRule="atLeast"/>
        </w:trPr>
        <w:tc>
          <w:tcPr>
            <w:tcW w:w="646" w:type="pct"/>
            <w:vMerge w:val="restart"/>
            <w:tcBorders>
              <w:top w:val="single" w:color="000000" w:sz="4" w:space="0"/>
              <w:left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w:t>
            </w:r>
          </w:p>
        </w:tc>
        <w:tc>
          <w:tcPr>
            <w:tcW w:w="6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ascii="宋体" w:hAnsi="宋体" w:eastAsia="宋体" w:cs="宋体"/>
                <w:color w:val="000000" w:themeColor="text1"/>
                <w:kern w:val="0"/>
                <w:sz w:val="20"/>
                <w:szCs w:val="20"/>
              </w:rPr>
              <w:t>安全</w:t>
            </w:r>
          </w:p>
        </w:tc>
        <w:tc>
          <w:tcPr>
            <w:tcW w:w="748" w:type="pct"/>
            <w:tcBorders>
              <w:top w:val="single" w:color="000000" w:sz="4" w:space="0"/>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高可靠性▲</w:t>
            </w:r>
          </w:p>
        </w:tc>
        <w:tc>
          <w:tcPr>
            <w:tcW w:w="2941" w:type="pct"/>
            <w:tcBorders>
              <w:top w:val="single" w:color="000000" w:sz="4" w:space="0"/>
              <w:left w:val="nil"/>
              <w:bottom w:val="single" w:color="000000" w:sz="4" w:space="0"/>
              <w:right w:val="single" w:color="000000" w:sz="4" w:space="0"/>
            </w:tcBorders>
            <w:shd w:val="clear" w:color="auto" w:fill="auto"/>
            <w:vAlign w:val="center"/>
          </w:tcPr>
          <w:p>
            <w:pPr>
              <w:widowControl/>
              <w:ind w:firstLine="0" w:firstLineChars="0"/>
              <w:textAlignment w:val="center"/>
              <w:rPr>
                <w:rFonts w:ascii="宋体" w:hAnsi="宋体" w:eastAsia="宋体" w:cs="宋体"/>
                <w:color w:val="000000" w:themeColor="text1"/>
                <w:kern w:val="0"/>
                <w:sz w:val="20"/>
                <w:szCs w:val="20"/>
              </w:rPr>
            </w:pPr>
            <w:r>
              <w:rPr>
                <w:rFonts w:ascii="宋体" w:hAnsi="宋体" w:eastAsia="宋体" w:cs="宋体"/>
                <w:color w:val="000000" w:themeColor="text1"/>
                <w:kern w:val="0"/>
                <w:sz w:val="20"/>
                <w:szCs w:val="20"/>
              </w:rPr>
              <w:t>全年非计划类停机时间超过4小时概率≤1%</w:t>
            </w:r>
            <w:r>
              <w:rPr>
                <w:rFonts w:hint="eastAsia" w:ascii="宋体" w:hAnsi="宋体" w:eastAsia="宋体" w:cs="宋体"/>
                <w:color w:val="000000" w:themeColor="text1"/>
                <w:kern w:val="0"/>
                <w:sz w:val="20"/>
                <w:szCs w:val="20"/>
              </w:rPr>
              <w:t>（需</w:t>
            </w:r>
            <w:r>
              <w:rPr>
                <w:rFonts w:ascii="宋体" w:hAnsi="宋体" w:eastAsia="宋体" w:cs="宋体"/>
                <w:color w:val="000000" w:themeColor="text1"/>
                <w:kern w:val="0"/>
                <w:sz w:val="20"/>
                <w:szCs w:val="20"/>
              </w:rPr>
              <w:t>提供第三方官方证明</w:t>
            </w:r>
            <w:r>
              <w:rPr>
                <w:rFonts w:hint="eastAsia" w:ascii="宋体" w:hAnsi="宋体" w:eastAsia="宋体" w:cs="宋体"/>
                <w:color w:val="000000" w:themeColor="text1"/>
                <w:kern w:val="0"/>
                <w:sz w:val="20"/>
                <w:szCs w:val="20"/>
              </w:rPr>
              <w:t>加盖原厂公章）</w:t>
            </w:r>
          </w:p>
          <w:p>
            <w:pPr>
              <w:widowControl/>
              <w:ind w:firstLine="0" w:firstLineChars="0"/>
              <w:textAlignment w:val="center"/>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满足平均无故障时间MTBF的m1值≥150000小时（需提供国家级认证机构NCTC相关证明材料并加盖原厂公章）</w:t>
            </w:r>
          </w:p>
        </w:tc>
      </w:tr>
      <w:tr>
        <w:tblPrEx>
          <w:tblCellMar>
            <w:top w:w="0" w:type="dxa"/>
            <w:left w:w="108" w:type="dxa"/>
            <w:bottom w:w="0" w:type="dxa"/>
            <w:right w:w="108" w:type="dxa"/>
          </w:tblCellMar>
        </w:tblPrEx>
        <w:trPr>
          <w:trHeight w:val="360" w:hRule="atLeast"/>
        </w:trPr>
        <w:tc>
          <w:tcPr>
            <w:tcW w:w="646" w:type="pct"/>
            <w:vMerge w:val="continue"/>
            <w:tcBorders>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single" w:color="000000" w:sz="4" w:space="0"/>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稳定性▲</w:t>
            </w:r>
          </w:p>
        </w:tc>
        <w:tc>
          <w:tcPr>
            <w:tcW w:w="2941" w:type="pct"/>
            <w:tcBorders>
              <w:top w:val="single" w:color="000000" w:sz="4" w:space="0"/>
              <w:left w:val="nil"/>
              <w:bottom w:val="single" w:color="000000" w:sz="4" w:space="0"/>
              <w:right w:val="single" w:color="000000" w:sz="4" w:space="0"/>
            </w:tcBorders>
            <w:shd w:val="clear" w:color="auto" w:fill="auto"/>
            <w:vAlign w:val="center"/>
          </w:tcPr>
          <w:p>
            <w:pPr>
              <w:widowControl/>
              <w:ind w:firstLine="0" w:firstLineChars="0"/>
              <w:textAlignment w:val="center"/>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支持ASHARE A4标准，工作温度最高支持45°C; （需提供国家级认证机构NCTC相关证明材料并加盖原厂公章）</w:t>
            </w:r>
          </w:p>
          <w:p>
            <w:pPr>
              <w:widowControl/>
              <w:ind w:firstLine="0" w:firstLineChars="0"/>
              <w:textAlignment w:val="center"/>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常工作承受的浪涌（冲击）抗扰度≥4kV（线线/线地）；</w:t>
            </w:r>
          </w:p>
          <w:p>
            <w:pPr>
              <w:widowControl/>
              <w:ind w:firstLine="0" w:firstLineChars="0"/>
              <w:textAlignment w:val="center"/>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正常工作电源口雷击抗扰度≥4kV；</w:t>
            </w:r>
          </w:p>
          <w:p>
            <w:pPr>
              <w:widowControl/>
              <w:ind w:firstLine="0" w:firstLineChars="0"/>
              <w:textAlignment w:val="center"/>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正常工作电信端口雷击抗扰度≥4kV；</w:t>
            </w:r>
          </w:p>
          <w:p>
            <w:pPr>
              <w:widowControl/>
              <w:ind w:firstLine="0" w:firstLineChars="0"/>
              <w:textAlignment w:val="center"/>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正常工作所承受的连续波辐射骚扰抗扰度≥10V/m；</w:t>
            </w:r>
          </w:p>
          <w:p>
            <w:pPr>
              <w:widowControl/>
              <w:ind w:firstLine="0" w:firstLineChars="0"/>
              <w:textAlignment w:val="center"/>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正常工作所承受的工频磁场抗扰度≥10V/m；</w:t>
            </w:r>
          </w:p>
          <w:p>
            <w:pPr>
              <w:widowControl/>
              <w:ind w:firstLine="0" w:firstLineChars="0"/>
              <w:textAlignment w:val="center"/>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（需提供国家级认证机构NCTC相关证明材料并加盖原厂公章）</w:t>
            </w:r>
          </w:p>
        </w:tc>
      </w:tr>
      <w:tr>
        <w:tblPrEx>
          <w:tblCellMar>
            <w:top w:w="0" w:type="dxa"/>
            <w:left w:w="108" w:type="dxa"/>
            <w:bottom w:w="0" w:type="dxa"/>
            <w:right w:w="108" w:type="dxa"/>
          </w:tblCellMar>
        </w:tblPrEx>
        <w:trPr>
          <w:trHeight w:val="1020" w:hRule="atLeast"/>
        </w:trPr>
        <w:tc>
          <w:tcPr>
            <w:tcW w:w="646" w:type="pct"/>
            <w:tcBorders>
              <w:top w:val="single" w:color="000000" w:sz="4" w:space="0"/>
              <w:left w:val="single" w:color="000000" w:sz="4" w:space="0"/>
              <w:bottom w:val="single" w:color="000000"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系统</w:t>
            </w:r>
          </w:p>
        </w:tc>
        <w:tc>
          <w:tcPr>
            <w:tcW w:w="748" w:type="pct"/>
            <w:tcBorders>
              <w:top w:val="single" w:color="000000" w:sz="4" w:space="0"/>
              <w:left w:val="nil"/>
              <w:bottom w:val="single" w:color="000000"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支持的操作系统</w:t>
            </w:r>
          </w:p>
        </w:tc>
        <w:tc>
          <w:tcPr>
            <w:tcW w:w="2941" w:type="pct"/>
            <w:tcBorders>
              <w:top w:val="single" w:color="000000" w:sz="4" w:space="0"/>
              <w:left w:val="nil"/>
              <w:bottom w:val="single" w:color="000000" w:sz="4" w:space="0"/>
              <w:right w:val="single" w:color="000000" w:sz="4" w:space="0"/>
            </w:tcBorders>
            <w:shd w:val="clear" w:color="auto" w:fill="auto"/>
            <w:vAlign w:val="center"/>
          </w:tcPr>
          <w:p>
            <w:pPr>
              <w:widowControl/>
              <w:ind w:firstLine="0" w:firstLineChars="0"/>
              <w:textAlignment w:val="center"/>
              <w:rPr>
                <w:rFonts w:ascii="宋体" w:hAnsi="宋体" w:eastAsia="宋体" w:cs="Times New Roman"/>
                <w:color w:val="000000" w:themeColor="text1"/>
                <w:kern w:val="0"/>
                <w:sz w:val="20"/>
                <w:szCs w:val="20"/>
              </w:rPr>
            </w:pPr>
            <w:r>
              <w:rPr>
                <w:rFonts w:ascii="宋体" w:hAnsi="宋体" w:eastAsia="宋体" w:cs="Times New Roman"/>
                <w:color w:val="000000" w:themeColor="text1"/>
                <w:kern w:val="0"/>
                <w:sz w:val="20"/>
                <w:szCs w:val="20"/>
              </w:rPr>
              <w:t xml:space="preserve">Microsoft Windows Server 2012 R2 </w:t>
            </w:r>
            <w:r>
              <w:rPr>
                <w:rFonts w:hint="eastAsia" w:ascii="宋体" w:hAnsi="宋体" w:eastAsia="宋体" w:cs="Times New Roman"/>
                <w:color w:val="000000" w:themeColor="text1"/>
                <w:kern w:val="0"/>
                <w:sz w:val="20"/>
                <w:szCs w:val="20"/>
              </w:rPr>
              <w:t>and</w:t>
            </w:r>
            <w:r>
              <w:rPr>
                <w:rFonts w:ascii="宋体" w:hAnsi="宋体" w:eastAsia="宋体" w:cs="Times New Roman"/>
                <w:color w:val="000000" w:themeColor="text1"/>
                <w:kern w:val="0"/>
                <w:sz w:val="20"/>
                <w:szCs w:val="20"/>
              </w:rPr>
              <w:t xml:space="preserve"> 2016</w:t>
            </w:r>
            <w:r>
              <w:rPr>
                <w:rFonts w:hint="eastAsia" w:ascii="宋体" w:hAnsi="宋体" w:eastAsia="宋体" w:cs="Times New Roman"/>
                <w:color w:val="000000" w:themeColor="text1"/>
                <w:kern w:val="0"/>
                <w:sz w:val="20"/>
                <w:szCs w:val="20"/>
              </w:rPr>
              <w:t>，</w:t>
            </w:r>
            <w:r>
              <w:rPr>
                <w:rFonts w:ascii="宋体" w:hAnsi="宋体" w:eastAsia="宋体" w:cs="Times New Roman"/>
                <w:color w:val="000000" w:themeColor="text1"/>
                <w:kern w:val="0"/>
                <w:sz w:val="20"/>
                <w:szCs w:val="20"/>
              </w:rPr>
              <w:t xml:space="preserve"> Red Hat Enterprise Linux 6 and 7, SUSE Linux Enterprise Server 11, VMware vSphere 6.0</w:t>
            </w:r>
            <w:r>
              <w:rPr>
                <w:rFonts w:hint="eastAsia" w:ascii="宋体" w:hAnsi="宋体" w:eastAsia="宋体" w:cs="Times New Roman"/>
                <w:color w:val="000000" w:themeColor="text1"/>
                <w:kern w:val="0"/>
                <w:sz w:val="20"/>
                <w:szCs w:val="20"/>
              </w:rPr>
              <w:t>及以上主流操作系统。</w:t>
            </w:r>
          </w:p>
        </w:tc>
      </w:tr>
      <w:tr>
        <w:tblPrEx>
          <w:tblCellMar>
            <w:top w:w="0" w:type="dxa"/>
            <w:left w:w="108" w:type="dxa"/>
            <w:bottom w:w="0" w:type="dxa"/>
            <w:right w:w="108" w:type="dxa"/>
          </w:tblCellMar>
        </w:tblPrEx>
        <w:trPr>
          <w:trHeight w:val="854" w:hRule="atLeast"/>
        </w:trPr>
        <w:tc>
          <w:tcPr>
            <w:tcW w:w="646" w:type="pct"/>
            <w:vMerge w:val="restart"/>
            <w:tcBorders>
              <w:top w:val="single" w:color="auto" w:sz="4" w:space="0"/>
              <w:left w:val="single" w:color="auto"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w:t>
            </w:r>
          </w:p>
        </w:tc>
        <w:tc>
          <w:tcPr>
            <w:tcW w:w="665" w:type="pct"/>
            <w:vMerge w:val="restart"/>
            <w:tcBorders>
              <w:top w:val="single" w:color="auto" w:sz="4" w:space="0"/>
              <w:left w:val="single" w:color="auto"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服务</w:t>
            </w:r>
          </w:p>
        </w:tc>
        <w:tc>
          <w:tcPr>
            <w:tcW w:w="748" w:type="pct"/>
            <w:tcBorders>
              <w:top w:val="single" w:color="auto" w:sz="4" w:space="0"/>
              <w:left w:val="nil"/>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b/>
                <w:bCs/>
                <w:color w:val="000000" w:themeColor="text1"/>
                <w:kern w:val="0"/>
                <w:sz w:val="20"/>
                <w:szCs w:val="20"/>
              </w:rPr>
              <w:t>数据拯救▲</w:t>
            </w:r>
          </w:p>
        </w:tc>
        <w:tc>
          <w:tcPr>
            <w:tcW w:w="2941" w:type="pct"/>
            <w:tcBorders>
              <w:top w:val="single" w:color="auto" w:sz="4" w:space="0"/>
              <w:left w:val="nil"/>
              <w:bottom w:val="single" w:color="000000" w:sz="4" w:space="0"/>
              <w:right w:val="single" w:color="auto"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支持硬盘数据丢失拯救(须提供官网截图并加盖原厂公章)，由原厂商提供数据拯救服务，原厂商数据拯救服务工程师需具备[全国工业和信息化岗位技能水平考试证书—数据恢复高级工程师认证],（提供证书复印件并加盖原厂公章）。</w:t>
            </w:r>
          </w:p>
        </w:tc>
      </w:tr>
      <w:tr>
        <w:tblPrEx>
          <w:tblCellMar>
            <w:top w:w="0" w:type="dxa"/>
            <w:left w:w="108" w:type="dxa"/>
            <w:bottom w:w="0" w:type="dxa"/>
            <w:right w:w="108" w:type="dxa"/>
          </w:tblCellMar>
        </w:tblPrEx>
        <w:trPr>
          <w:trHeight w:val="480" w:hRule="atLeast"/>
        </w:trPr>
        <w:tc>
          <w:tcPr>
            <w:tcW w:w="646" w:type="pct"/>
            <w:vMerge w:val="continue"/>
            <w:tcBorders>
              <w:left w:val="single" w:color="auto"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continue"/>
            <w:tcBorders>
              <w:left w:val="single" w:color="auto" w:sz="4" w:space="0"/>
              <w:bottom w:val="single" w:color="auto"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single" w:color="000000" w:sz="4" w:space="0"/>
              <w:left w:val="nil"/>
              <w:bottom w:val="single" w:color="auto"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b/>
                <w:bCs/>
                <w:color w:val="000000" w:themeColor="text1"/>
                <w:kern w:val="0"/>
                <w:sz w:val="20"/>
                <w:szCs w:val="20"/>
              </w:rPr>
              <w:t>服务资质▲</w:t>
            </w:r>
          </w:p>
        </w:tc>
        <w:tc>
          <w:tcPr>
            <w:tcW w:w="2941" w:type="pct"/>
            <w:tcBorders>
              <w:top w:val="single" w:color="000000" w:sz="4" w:space="0"/>
              <w:left w:val="nil"/>
              <w:bottom w:val="single" w:color="auto" w:sz="4" w:space="0"/>
              <w:right w:val="single" w:color="auto"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原厂服务体系通过CCCS客户联络中心钻石五星级标准体系认证，提供证明材料并加盖原厂公章</w:t>
            </w:r>
          </w:p>
        </w:tc>
      </w:tr>
      <w:tr>
        <w:tblPrEx>
          <w:tblCellMar>
            <w:top w:w="0" w:type="dxa"/>
            <w:left w:w="108" w:type="dxa"/>
            <w:bottom w:w="0" w:type="dxa"/>
            <w:right w:w="108" w:type="dxa"/>
          </w:tblCellMar>
        </w:tblPrEx>
        <w:trPr>
          <w:trHeight w:val="480" w:hRule="atLeast"/>
        </w:trPr>
        <w:tc>
          <w:tcPr>
            <w:tcW w:w="646" w:type="pct"/>
            <w:vMerge w:val="continue"/>
            <w:tcBorders>
              <w:left w:val="single" w:color="auto" w:sz="4" w:space="0"/>
              <w:bottom w:val="single" w:color="auto" w:sz="4" w:space="0"/>
              <w:right w:val="single" w:color="000000" w:sz="4" w:space="0"/>
            </w:tcBorders>
          </w:tcPr>
          <w:p>
            <w:pPr>
              <w:widowControl/>
              <w:ind w:firstLine="0" w:firstLineChars="0"/>
              <w:jc w:val="left"/>
              <w:rPr>
                <w:rFonts w:ascii="宋体" w:hAnsi="宋体" w:eastAsia="宋体" w:cs="宋体"/>
                <w:color w:val="000000" w:themeColor="text1"/>
                <w:kern w:val="0"/>
                <w:sz w:val="20"/>
                <w:szCs w:val="20"/>
              </w:rPr>
            </w:pPr>
          </w:p>
        </w:tc>
        <w:tc>
          <w:tcPr>
            <w:tcW w:w="665" w:type="pct"/>
            <w:vMerge w:val="continue"/>
            <w:tcBorders>
              <w:left w:val="single" w:color="auto" w:sz="4" w:space="0"/>
              <w:bottom w:val="single" w:color="auto"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p>
        </w:tc>
        <w:tc>
          <w:tcPr>
            <w:tcW w:w="748" w:type="pct"/>
            <w:tcBorders>
              <w:top w:val="single" w:color="000000" w:sz="4" w:space="0"/>
              <w:left w:val="nil"/>
              <w:bottom w:val="single" w:color="auto" w:sz="4" w:space="0"/>
              <w:right w:val="single" w:color="000000"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售后服务▲</w:t>
            </w:r>
          </w:p>
        </w:tc>
        <w:tc>
          <w:tcPr>
            <w:tcW w:w="2941" w:type="pct"/>
            <w:tcBorders>
              <w:top w:val="single" w:color="000000" w:sz="4" w:space="0"/>
              <w:left w:val="nil"/>
              <w:bottom w:val="single" w:color="auto" w:sz="4" w:space="0"/>
              <w:right w:val="single" w:color="auto" w:sz="4" w:space="0"/>
            </w:tcBorders>
            <w:shd w:val="clear" w:color="auto" w:fill="auto"/>
            <w:vAlign w:val="center"/>
          </w:tcPr>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提供原厂商工程师上架安装调试</w:t>
            </w:r>
            <w:r>
              <w:rPr>
                <w:rFonts w:hint="eastAsia" w:ascii="宋体" w:hAnsi="宋体" w:eastAsia="宋体" w:cs="宋体"/>
                <w:color w:val="000000" w:themeColor="text1"/>
                <w:kern w:val="0"/>
                <w:sz w:val="20"/>
                <w:szCs w:val="20"/>
              </w:rPr>
              <w:br w:type="textWrapping"/>
            </w:r>
            <w:r>
              <w:rPr>
                <w:rFonts w:hint="eastAsia" w:ascii="宋体" w:hAnsi="宋体" w:eastAsia="宋体" w:cs="宋体"/>
                <w:color w:val="000000" w:themeColor="text1"/>
                <w:kern w:val="0"/>
                <w:sz w:val="20"/>
                <w:szCs w:val="20"/>
              </w:rPr>
              <w:t>提供3年原厂7*24免费人工、部件服务</w:t>
            </w:r>
          </w:p>
          <w:p>
            <w:pPr>
              <w:widowControl/>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投标时提供原厂商针对此项目的授权原件及服务承诺书原件</w:t>
            </w:r>
          </w:p>
        </w:tc>
      </w:tr>
    </w:tbl>
    <w:p>
      <w:pPr>
        <w:pStyle w:val="31"/>
        <w:snapToGrid w:val="0"/>
        <w:spacing w:line="360" w:lineRule="auto"/>
        <w:rPr>
          <w:rFonts w:asciiTheme="minorEastAsia" w:hAnsiTheme="minorEastAsia" w:eastAsiaTheme="minorEastAsia" w:cstheme="minorEastAsia"/>
          <w:b/>
          <w:sz w:val="21"/>
          <w:szCs w:val="21"/>
          <w:lang w:eastAsia="zh-CN"/>
        </w:rPr>
      </w:pPr>
    </w:p>
    <w:p>
      <w:pPr>
        <w:pStyle w:val="55"/>
        <w:snapToGrid w:val="0"/>
        <w:spacing w:before="0" w:line="360" w:lineRule="auto"/>
        <w:ind w:firstLine="420"/>
        <w:jc w:val="both"/>
        <w:rPr>
          <w:rFonts w:asciiTheme="minorEastAsia" w:hAnsiTheme="minorEastAsia" w:cstheme="minorEastAsia"/>
          <w:bCs/>
          <w:sz w:val="21"/>
          <w:szCs w:val="21"/>
        </w:rPr>
      </w:pPr>
      <w:r>
        <w:rPr>
          <w:rFonts w:hint="eastAsia" w:asciiTheme="minorEastAsia" w:hAnsiTheme="minorEastAsia" w:cstheme="minorEastAsia"/>
          <w:bCs/>
          <w:sz w:val="21"/>
          <w:szCs w:val="21"/>
        </w:rPr>
        <w:t>2、光纤交换机（2台）</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985"/>
        <w:gridCol w:w="5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shd w:val="clear" w:color="auto" w:fill="DAEEF3" w:themeFill="accent5" w:themeFillTint="33"/>
          </w:tcPr>
          <w:p>
            <w:pPr>
              <w:pStyle w:val="55"/>
              <w:snapToGrid w:val="0"/>
              <w:spacing w:line="360" w:lineRule="auto"/>
              <w:ind w:firstLine="0" w:firstLineChars="0"/>
              <w:jc w:val="both"/>
              <w:rPr>
                <w:rFonts w:asciiTheme="minorEastAsia" w:hAnsiTheme="minorEastAsia" w:cstheme="minorEastAsia"/>
                <w:b/>
                <w:bCs/>
                <w:szCs w:val="21"/>
              </w:rPr>
            </w:pPr>
            <w:r>
              <w:rPr>
                <w:rFonts w:hint="eastAsia" w:asciiTheme="minorEastAsia" w:hAnsiTheme="minorEastAsia" w:cstheme="minorEastAsia"/>
                <w:b/>
                <w:bCs/>
                <w:szCs w:val="21"/>
              </w:rPr>
              <w:t>序号</w:t>
            </w:r>
          </w:p>
        </w:tc>
        <w:tc>
          <w:tcPr>
            <w:tcW w:w="1164" w:type="pct"/>
            <w:tcBorders>
              <w:top w:val="single" w:color="auto" w:sz="4" w:space="0"/>
              <w:left w:val="single" w:color="auto" w:sz="4" w:space="0"/>
              <w:bottom w:val="single" w:color="auto" w:sz="4" w:space="0"/>
              <w:right w:val="single" w:color="auto" w:sz="4" w:space="0"/>
            </w:tcBorders>
            <w:shd w:val="clear" w:color="auto" w:fill="DAEEF3" w:themeFill="accent5" w:themeFillTint="33"/>
          </w:tcPr>
          <w:p>
            <w:pPr>
              <w:pStyle w:val="55"/>
              <w:snapToGrid w:val="0"/>
              <w:spacing w:line="360" w:lineRule="auto"/>
              <w:ind w:firstLine="0" w:firstLineChars="0"/>
              <w:jc w:val="both"/>
              <w:rPr>
                <w:rFonts w:asciiTheme="minorEastAsia" w:hAnsiTheme="minorEastAsia" w:cstheme="minorEastAsia"/>
                <w:b/>
                <w:bCs/>
                <w:szCs w:val="21"/>
              </w:rPr>
            </w:pPr>
            <w:r>
              <w:rPr>
                <w:rFonts w:hint="eastAsia" w:asciiTheme="minorEastAsia" w:hAnsiTheme="minorEastAsia" w:cstheme="minorEastAsia"/>
                <w:b/>
                <w:bCs/>
                <w:szCs w:val="21"/>
              </w:rPr>
              <w:t>指标项目</w:t>
            </w:r>
          </w:p>
        </w:tc>
        <w:tc>
          <w:tcPr>
            <w:tcW w:w="3440" w:type="pct"/>
            <w:tcBorders>
              <w:top w:val="single" w:color="auto" w:sz="4" w:space="0"/>
              <w:left w:val="single" w:color="auto" w:sz="4" w:space="0"/>
              <w:bottom w:val="single" w:color="auto" w:sz="4" w:space="0"/>
              <w:right w:val="single" w:color="auto" w:sz="4" w:space="0"/>
            </w:tcBorders>
            <w:shd w:val="clear" w:color="auto" w:fill="DAEEF3" w:themeFill="accent5" w:themeFillTint="33"/>
          </w:tcPr>
          <w:p>
            <w:pPr>
              <w:pStyle w:val="55"/>
              <w:snapToGrid w:val="0"/>
              <w:spacing w:line="360" w:lineRule="auto"/>
              <w:ind w:firstLine="0" w:firstLineChars="0"/>
              <w:rPr>
                <w:rFonts w:asciiTheme="minorEastAsia" w:hAnsiTheme="minorEastAsia" w:cstheme="minorEastAsia"/>
                <w:b/>
                <w:bCs/>
                <w:szCs w:val="21"/>
              </w:rPr>
            </w:pPr>
            <w:r>
              <w:rPr>
                <w:rFonts w:hint="eastAsia" w:asciiTheme="minorEastAsia" w:hAnsiTheme="minorEastAsia" w:cstheme="minorEastAsia"/>
                <w:b/>
                <w:bCs/>
                <w:szCs w:val="21"/>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1</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asciiTheme="minorEastAsia" w:hAnsiTheme="minorEastAsia" w:cstheme="minorEastAsia"/>
                <w:bCs/>
                <w:szCs w:val="21"/>
              </w:rPr>
              <w:t>SAN</w:t>
            </w:r>
            <w:r>
              <w:rPr>
                <w:rFonts w:hint="eastAsia" w:asciiTheme="minorEastAsia" w:hAnsiTheme="minorEastAsia" w:cstheme="minorEastAsia"/>
                <w:bCs/>
                <w:szCs w:val="21"/>
              </w:rPr>
              <w:t>交换机的尺寸</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jc w:val="both"/>
              <w:rPr>
                <w:rFonts w:asciiTheme="minorEastAsia" w:hAnsiTheme="minorEastAsia" w:cstheme="minorEastAsia"/>
                <w:bCs/>
                <w:szCs w:val="21"/>
              </w:rPr>
            </w:pPr>
            <w:r>
              <w:rPr>
                <w:rFonts w:asciiTheme="minorEastAsia" w:hAnsiTheme="minorEastAsia" w:cstheme="minorEastAsia"/>
                <w:bCs/>
                <w:szCs w:val="21"/>
              </w:rPr>
              <w:t>SAN</w:t>
            </w:r>
            <w:r>
              <w:rPr>
                <w:rFonts w:hint="eastAsia" w:asciiTheme="minorEastAsia" w:hAnsiTheme="minorEastAsia" w:cstheme="minorEastAsia"/>
                <w:bCs/>
                <w:szCs w:val="21"/>
              </w:rPr>
              <w:t>交换机必须能固定于标准的</w:t>
            </w:r>
            <w:r>
              <w:rPr>
                <w:rFonts w:asciiTheme="minorEastAsia" w:hAnsiTheme="minorEastAsia" w:cstheme="minorEastAsia"/>
                <w:bCs/>
                <w:szCs w:val="21"/>
              </w:rPr>
              <w:t>19</w:t>
            </w:r>
            <w:r>
              <w:rPr>
                <w:rFonts w:hint="eastAsia" w:asciiTheme="minorEastAsia" w:hAnsiTheme="minorEastAsia" w:cstheme="minorEastAsia"/>
                <w:bCs/>
                <w:szCs w:val="21"/>
              </w:rPr>
              <w:t>寸机架内，1U高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2</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背板架构</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采用无拥塞的背板架构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3</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color w:val="000000" w:themeColor="text1"/>
                <w:szCs w:val="21"/>
              </w:rPr>
              <w:t>★</w:t>
            </w:r>
            <w:r>
              <w:rPr>
                <w:rFonts w:hint="eastAsia" w:asciiTheme="minorEastAsia" w:hAnsiTheme="minorEastAsia" w:cstheme="minorEastAsia"/>
                <w:bCs/>
                <w:szCs w:val="21"/>
              </w:rPr>
              <w:t>全线速</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所有FC端口支持</w:t>
            </w:r>
            <w:r>
              <w:rPr>
                <w:rFonts w:asciiTheme="minorEastAsia" w:hAnsiTheme="minorEastAsia" w:cstheme="minorEastAsia"/>
                <w:bCs/>
                <w:szCs w:val="21"/>
              </w:rPr>
              <w:t>32</w:t>
            </w:r>
            <w:r>
              <w:rPr>
                <w:rFonts w:hint="eastAsia" w:asciiTheme="minorEastAsia" w:hAnsiTheme="minorEastAsia" w:cstheme="minorEastAsia"/>
                <w:bCs/>
                <w:szCs w:val="21"/>
              </w:rPr>
              <w:t>G全线速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4</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color w:val="000000" w:themeColor="text1"/>
                <w:szCs w:val="21"/>
              </w:rPr>
              <w:t>★</w:t>
            </w:r>
            <w:r>
              <w:rPr>
                <w:rFonts w:hint="eastAsia" w:asciiTheme="minorEastAsia" w:hAnsiTheme="minorEastAsia" w:cstheme="minorEastAsia"/>
                <w:bCs/>
                <w:szCs w:val="21"/>
              </w:rPr>
              <w:t>光模块特性</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支持16G</w:t>
            </w:r>
            <w:r>
              <w:rPr>
                <w:rFonts w:asciiTheme="minorEastAsia" w:hAnsiTheme="minorEastAsia" w:cstheme="minorEastAsia"/>
                <w:bCs/>
                <w:szCs w:val="21"/>
              </w:rPr>
              <w:t>b</w:t>
            </w:r>
            <w:r>
              <w:rPr>
                <w:rFonts w:hint="eastAsia" w:asciiTheme="minorEastAsia" w:hAnsiTheme="minorEastAsia" w:cstheme="minorEastAsia"/>
                <w:bCs/>
                <w:szCs w:val="21"/>
              </w:rPr>
              <w:t>、</w:t>
            </w:r>
            <w:r>
              <w:rPr>
                <w:rFonts w:asciiTheme="minorEastAsia" w:hAnsiTheme="minorEastAsia" w:cstheme="minorEastAsia"/>
                <w:bCs/>
                <w:szCs w:val="21"/>
              </w:rPr>
              <w:t>32Gb</w:t>
            </w:r>
            <w:r>
              <w:rPr>
                <w:rFonts w:hint="eastAsia" w:asciiTheme="minorEastAsia" w:hAnsiTheme="minorEastAsia" w:cstheme="minorEastAsia"/>
                <w:bCs/>
                <w:szCs w:val="21"/>
              </w:rPr>
              <w:t>光模块；可在线热插拔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5</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rPr>
              <w:t>▲</w:t>
            </w:r>
            <w:r>
              <w:rPr>
                <w:rFonts w:hint="eastAsia" w:asciiTheme="minorEastAsia" w:hAnsiTheme="minorEastAsia" w:cstheme="minorEastAsia"/>
                <w:bCs/>
                <w:szCs w:val="21"/>
              </w:rPr>
              <w:t>每</w:t>
            </w:r>
            <w:r>
              <w:rPr>
                <w:rFonts w:asciiTheme="minorEastAsia" w:hAnsiTheme="minorEastAsia" w:cstheme="minorEastAsia"/>
                <w:bCs/>
                <w:szCs w:val="21"/>
              </w:rPr>
              <w:t>端口</w:t>
            </w:r>
            <w:r>
              <w:rPr>
                <w:rFonts w:hint="eastAsia" w:asciiTheme="minorEastAsia" w:hAnsiTheme="minorEastAsia" w:cstheme="minorEastAsia"/>
                <w:bCs/>
                <w:szCs w:val="21"/>
              </w:rPr>
              <w:t>最大</w:t>
            </w:r>
            <w:r>
              <w:rPr>
                <w:rFonts w:asciiTheme="minorEastAsia" w:hAnsiTheme="minorEastAsia" w:cstheme="minorEastAsia"/>
                <w:bCs/>
                <w:szCs w:val="21"/>
              </w:rPr>
              <w:t>支持</w:t>
            </w:r>
            <w:r>
              <w:rPr>
                <w:rFonts w:hint="eastAsia" w:asciiTheme="minorEastAsia" w:hAnsiTheme="minorEastAsia" w:cstheme="minorEastAsia"/>
                <w:bCs/>
                <w:szCs w:val="21"/>
              </w:rPr>
              <w:t>N</w:t>
            </w:r>
            <w:r>
              <w:rPr>
                <w:rFonts w:asciiTheme="minorEastAsia" w:hAnsiTheme="minorEastAsia" w:cstheme="minorEastAsia"/>
                <w:bCs/>
                <w:szCs w:val="21"/>
              </w:rPr>
              <w:t>PIV</w:t>
            </w:r>
            <w:r>
              <w:rPr>
                <w:rFonts w:hint="eastAsia" w:asciiTheme="minorEastAsia" w:hAnsiTheme="minorEastAsia" w:cstheme="minorEastAsia"/>
                <w:bCs/>
                <w:szCs w:val="21"/>
              </w:rPr>
              <w:t>数量</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每</w:t>
            </w:r>
            <w:r>
              <w:rPr>
                <w:rFonts w:asciiTheme="minorEastAsia" w:hAnsiTheme="minorEastAsia" w:cstheme="minorEastAsia"/>
                <w:bCs/>
                <w:szCs w:val="21"/>
              </w:rPr>
              <w:t>端口</w:t>
            </w:r>
            <w:r>
              <w:rPr>
                <w:rFonts w:hint="eastAsia" w:asciiTheme="minorEastAsia" w:hAnsiTheme="minorEastAsia" w:cstheme="minorEastAsia"/>
                <w:bCs/>
                <w:szCs w:val="21"/>
              </w:rPr>
              <w:t>最大</w:t>
            </w:r>
            <w:r>
              <w:rPr>
                <w:rFonts w:asciiTheme="minorEastAsia" w:hAnsiTheme="minorEastAsia" w:cstheme="minorEastAsia"/>
                <w:bCs/>
                <w:szCs w:val="21"/>
              </w:rPr>
              <w:t>支持</w:t>
            </w:r>
            <w:r>
              <w:rPr>
                <w:rFonts w:hint="eastAsia" w:asciiTheme="minorEastAsia" w:hAnsiTheme="minorEastAsia" w:cstheme="minorEastAsia"/>
                <w:bCs/>
                <w:szCs w:val="21"/>
              </w:rPr>
              <w:t>N</w:t>
            </w:r>
            <w:r>
              <w:rPr>
                <w:rFonts w:asciiTheme="minorEastAsia" w:hAnsiTheme="minorEastAsia" w:cstheme="minorEastAsia"/>
                <w:bCs/>
                <w:szCs w:val="21"/>
              </w:rPr>
              <w:t>PIV</w:t>
            </w:r>
            <w:r>
              <w:rPr>
                <w:rFonts w:hint="eastAsia" w:asciiTheme="minorEastAsia" w:hAnsiTheme="minorEastAsia" w:cstheme="minorEastAsia"/>
                <w:bCs/>
                <w:szCs w:val="21"/>
              </w:rPr>
              <w:t>数量为2</w:t>
            </w:r>
            <w:r>
              <w:rPr>
                <w:rFonts w:asciiTheme="minorEastAsia" w:hAnsiTheme="minorEastAsia" w:cstheme="minorEastAsia"/>
                <w:bCs/>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6</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兼容性</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能够支持著名存储厂家的主流盘阵设备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7</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支持数据流监控</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支持数据</w:t>
            </w:r>
            <w:r>
              <w:rPr>
                <w:rFonts w:asciiTheme="minorEastAsia" w:hAnsiTheme="minorEastAsia" w:cstheme="minorEastAsia"/>
                <w:bCs/>
                <w:szCs w:val="21"/>
              </w:rPr>
              <w:t>流监控，</w:t>
            </w:r>
            <w:r>
              <w:rPr>
                <w:rFonts w:hint="eastAsia" w:asciiTheme="minorEastAsia" w:hAnsiTheme="minorEastAsia" w:cstheme="minorEastAsia"/>
                <w:bCs/>
                <w:szCs w:val="21"/>
              </w:rPr>
              <w:t>发现设备延迟和</w:t>
            </w:r>
            <w:r>
              <w:rPr>
                <w:rFonts w:asciiTheme="minorEastAsia" w:hAnsiTheme="minorEastAsia" w:cstheme="minorEastAsia"/>
                <w:bCs/>
                <w:szCs w:val="21"/>
              </w:rPr>
              <w:t>IOPS</w:t>
            </w:r>
            <w:r>
              <w:rPr>
                <w:rFonts w:hint="eastAsia" w:asciiTheme="minorEastAsia" w:hAnsiTheme="minorEastAsia" w:cstheme="minorEastAsia"/>
                <w:bCs/>
                <w:szCs w:val="21"/>
              </w:rPr>
              <w:t>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8</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可管理性</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szCs w:val="21"/>
              </w:rPr>
            </w:pPr>
            <w:r>
              <w:rPr>
                <w:rFonts w:hint="eastAsia" w:asciiTheme="minorEastAsia" w:hAnsiTheme="minorEastAsia" w:cstheme="minorEastAsia"/>
                <w:bCs/>
                <w:szCs w:val="21"/>
              </w:rPr>
              <w:t>支持SNMP 、Telnet、Web管理／GUI界面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9</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color w:val="000000" w:themeColor="text1"/>
                <w:szCs w:val="21"/>
              </w:rPr>
              <w:t>★</w:t>
            </w:r>
            <w:r>
              <w:rPr>
                <w:rFonts w:hint="eastAsia" w:asciiTheme="minorEastAsia" w:hAnsiTheme="minorEastAsia" w:cstheme="minorEastAsia"/>
                <w:bCs/>
                <w:iCs/>
                <w:szCs w:val="21"/>
              </w:rPr>
              <w:t>端口可扩展性</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单台机器可配置</w:t>
            </w:r>
            <w:r>
              <w:rPr>
                <w:rFonts w:asciiTheme="minorEastAsia" w:hAnsiTheme="minorEastAsia" w:cstheme="minorEastAsia"/>
                <w:bCs/>
                <w:iCs/>
                <w:szCs w:val="21"/>
              </w:rPr>
              <w:t>8</w:t>
            </w:r>
            <w:r>
              <w:rPr>
                <w:rFonts w:hint="eastAsia" w:asciiTheme="minorEastAsia" w:hAnsiTheme="minorEastAsia" w:cstheme="minorEastAsia"/>
                <w:bCs/>
                <w:iCs/>
                <w:szCs w:val="21"/>
              </w:rPr>
              <w:t>、</w:t>
            </w:r>
            <w:r>
              <w:rPr>
                <w:rFonts w:asciiTheme="minorEastAsia" w:hAnsiTheme="minorEastAsia" w:cstheme="minorEastAsia"/>
                <w:bCs/>
                <w:iCs/>
                <w:szCs w:val="21"/>
              </w:rPr>
              <w:t>16</w:t>
            </w:r>
            <w:r>
              <w:rPr>
                <w:rFonts w:hint="eastAsia" w:asciiTheme="minorEastAsia" w:hAnsiTheme="minorEastAsia" w:cstheme="minorEastAsia"/>
                <w:bCs/>
                <w:iCs/>
                <w:szCs w:val="21"/>
              </w:rPr>
              <w:t>和2</w:t>
            </w:r>
            <w:r>
              <w:rPr>
                <w:rFonts w:asciiTheme="minorEastAsia" w:hAnsiTheme="minorEastAsia" w:cstheme="minorEastAsia"/>
                <w:bCs/>
                <w:iCs/>
                <w:szCs w:val="21"/>
              </w:rPr>
              <w:t>4</w:t>
            </w:r>
            <w:r>
              <w:rPr>
                <w:rFonts w:hint="eastAsia" w:asciiTheme="minorEastAsia" w:hAnsiTheme="minorEastAsia" w:cstheme="minorEastAsia"/>
                <w:bCs/>
                <w:iCs/>
                <w:szCs w:val="21"/>
              </w:rPr>
              <w:t>个可使用的端口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10</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color w:val="000000" w:themeColor="text1"/>
                <w:szCs w:val="21"/>
              </w:rPr>
              <w:t>★</w:t>
            </w:r>
            <w:r>
              <w:rPr>
                <w:rFonts w:hint="eastAsia" w:asciiTheme="minorEastAsia" w:hAnsiTheme="minorEastAsia" w:cstheme="minorEastAsia"/>
                <w:bCs/>
                <w:iCs/>
                <w:szCs w:val="21"/>
              </w:rPr>
              <w:t>端口需求</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每台</w:t>
            </w:r>
            <w:r>
              <w:rPr>
                <w:rFonts w:asciiTheme="minorEastAsia" w:hAnsiTheme="minorEastAsia" w:cstheme="minorEastAsia"/>
                <w:bCs/>
                <w:iCs/>
                <w:szCs w:val="21"/>
              </w:rPr>
              <w:t>SAN</w:t>
            </w:r>
            <w:r>
              <w:rPr>
                <w:rFonts w:hint="eastAsia" w:asciiTheme="minorEastAsia" w:hAnsiTheme="minorEastAsia" w:cstheme="minorEastAsia"/>
                <w:bCs/>
                <w:szCs w:val="21"/>
              </w:rPr>
              <w:t>交换机配置</w:t>
            </w:r>
            <w:r>
              <w:rPr>
                <w:rFonts w:hint="eastAsia" w:asciiTheme="minorEastAsia" w:hAnsiTheme="minorEastAsia" w:cstheme="minorEastAsia"/>
                <w:bCs/>
                <w:iCs/>
                <w:szCs w:val="21"/>
              </w:rPr>
              <w:t>24</w:t>
            </w:r>
            <w:r>
              <w:rPr>
                <w:rFonts w:hint="eastAsia" w:asciiTheme="minorEastAsia" w:hAnsiTheme="minorEastAsia" w:cstheme="minorEastAsia"/>
                <w:bCs/>
                <w:szCs w:val="21"/>
              </w:rPr>
              <w:t>个</w:t>
            </w:r>
            <w:r>
              <w:rPr>
                <w:rFonts w:asciiTheme="minorEastAsia" w:hAnsiTheme="minorEastAsia" w:cstheme="minorEastAsia"/>
                <w:bCs/>
                <w:iCs/>
                <w:szCs w:val="21"/>
              </w:rPr>
              <w:t>32Gb FC</w:t>
            </w:r>
            <w:r>
              <w:rPr>
                <w:rFonts w:hint="eastAsia" w:asciiTheme="minorEastAsia" w:hAnsiTheme="minorEastAsia" w:cstheme="minorEastAsia"/>
                <w:bCs/>
                <w:iCs/>
                <w:szCs w:val="21"/>
              </w:rPr>
              <w:t>端口，并配置24个</w:t>
            </w:r>
            <w:r>
              <w:rPr>
                <w:rFonts w:asciiTheme="minorEastAsia" w:hAnsiTheme="minorEastAsia" w:cstheme="minorEastAsia"/>
                <w:bCs/>
                <w:iCs/>
                <w:szCs w:val="21"/>
              </w:rPr>
              <w:t>16</w:t>
            </w:r>
            <w:r>
              <w:rPr>
                <w:rFonts w:hint="eastAsia" w:asciiTheme="minorEastAsia" w:hAnsiTheme="minorEastAsia" w:cstheme="minorEastAsia"/>
                <w:bCs/>
                <w:iCs/>
                <w:szCs w:val="21"/>
              </w:rPr>
              <w:t>Gb</w:t>
            </w:r>
            <w:r>
              <w:rPr>
                <w:rFonts w:hint="eastAsia" w:asciiTheme="minorEastAsia" w:hAnsiTheme="minorEastAsia" w:cstheme="minorEastAsia"/>
                <w:bCs/>
                <w:szCs w:val="21"/>
              </w:rPr>
              <w:t>光模块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11</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端口类型</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支持</w:t>
            </w:r>
            <w:r>
              <w:rPr>
                <w:rFonts w:asciiTheme="minorEastAsia" w:hAnsiTheme="minorEastAsia" w:cstheme="minorEastAsia"/>
                <w:bCs/>
                <w:iCs/>
                <w:szCs w:val="21"/>
              </w:rPr>
              <w:t>D_Port</w:t>
            </w:r>
            <w:r>
              <w:rPr>
                <w:rFonts w:hint="eastAsia" w:asciiTheme="minorEastAsia" w:hAnsiTheme="minorEastAsia" w:cstheme="minorEastAsia"/>
                <w:bCs/>
                <w:iCs/>
                <w:szCs w:val="21"/>
              </w:rPr>
              <w:t>（诊断端口）、</w:t>
            </w:r>
            <w:r>
              <w:rPr>
                <w:rFonts w:asciiTheme="minorEastAsia" w:hAnsiTheme="minorEastAsia" w:cstheme="minorEastAsia"/>
                <w:bCs/>
                <w:iCs/>
                <w:szCs w:val="21"/>
              </w:rPr>
              <w:t>E_Port</w:t>
            </w:r>
            <w:r>
              <w:rPr>
                <w:rFonts w:hint="eastAsia" w:asciiTheme="minorEastAsia" w:hAnsiTheme="minorEastAsia" w:cstheme="minorEastAsia"/>
                <w:bCs/>
                <w:iCs/>
                <w:szCs w:val="21"/>
              </w:rPr>
              <w:t>、</w:t>
            </w:r>
            <w:r>
              <w:rPr>
                <w:rFonts w:asciiTheme="minorEastAsia" w:hAnsiTheme="minorEastAsia" w:cstheme="minorEastAsia"/>
                <w:bCs/>
                <w:iCs/>
                <w:szCs w:val="21"/>
              </w:rPr>
              <w:t>EX_Port</w:t>
            </w:r>
            <w:r>
              <w:rPr>
                <w:rFonts w:hint="eastAsia" w:asciiTheme="minorEastAsia" w:hAnsiTheme="minorEastAsia" w:cstheme="minorEastAsia"/>
                <w:bCs/>
                <w:iCs/>
                <w:szCs w:val="21"/>
              </w:rPr>
              <w:t>、</w:t>
            </w:r>
            <w:r>
              <w:rPr>
                <w:rFonts w:asciiTheme="minorEastAsia" w:hAnsiTheme="minorEastAsia" w:cstheme="minorEastAsia"/>
                <w:bCs/>
                <w:iCs/>
                <w:szCs w:val="21"/>
              </w:rPr>
              <w:t>F_Port</w:t>
            </w:r>
            <w:r>
              <w:rPr>
                <w:rFonts w:hint="eastAsia" w:asciiTheme="minorEastAsia" w:hAnsiTheme="minorEastAsia" w:cstheme="minorEastAsia"/>
                <w:bCs/>
                <w:iCs/>
                <w:szCs w:val="21"/>
              </w:rPr>
              <w:t>、</w:t>
            </w:r>
            <w:r>
              <w:rPr>
                <w:rFonts w:asciiTheme="minorEastAsia" w:hAnsiTheme="minorEastAsia" w:cstheme="minorEastAsia"/>
                <w:bCs/>
                <w:iCs/>
                <w:szCs w:val="21"/>
              </w:rPr>
              <w:t>M_Port</w:t>
            </w:r>
            <w:r>
              <w:rPr>
                <w:rFonts w:hint="eastAsia" w:asciiTheme="minorEastAsia" w:hAnsiTheme="minorEastAsia" w:cstheme="minorEastAsia"/>
                <w:bCs/>
                <w:iCs/>
                <w:szCs w:val="21"/>
              </w:rPr>
              <w:t>（镜像端口）；基于交换机类型的自我发现（</w:t>
            </w:r>
            <w:r>
              <w:rPr>
                <w:rFonts w:asciiTheme="minorEastAsia" w:hAnsiTheme="minorEastAsia" w:cstheme="minorEastAsia"/>
                <w:bCs/>
                <w:iCs/>
                <w:szCs w:val="21"/>
              </w:rPr>
              <w:t>U_Port</w:t>
            </w:r>
            <w:r>
              <w:rPr>
                <w:rFonts w:hint="eastAsia" w:asciiTheme="minorEastAsia" w:hAnsiTheme="minorEastAsia" w:cstheme="minorEastAsia"/>
                <w:bCs/>
                <w:iCs/>
                <w:szCs w:val="21"/>
              </w:rPr>
              <w:t>）；当</w:t>
            </w:r>
            <w:r>
              <w:rPr>
                <w:rFonts w:asciiTheme="minorEastAsia" w:hAnsiTheme="minorEastAsia" w:cstheme="minorEastAsia"/>
                <w:bCs/>
                <w:iCs/>
                <w:szCs w:val="21"/>
              </w:rPr>
              <w:t xml:space="preserve">Access Gateway </w:t>
            </w:r>
            <w:r>
              <w:rPr>
                <w:rFonts w:hint="eastAsia" w:asciiTheme="minorEastAsia" w:hAnsiTheme="minorEastAsia" w:cstheme="minorEastAsia"/>
                <w:bCs/>
                <w:iCs/>
                <w:szCs w:val="21"/>
              </w:rPr>
              <w:t>模式时，支持</w:t>
            </w:r>
            <w:r>
              <w:rPr>
                <w:rFonts w:asciiTheme="minorEastAsia" w:hAnsiTheme="minorEastAsia" w:cstheme="minorEastAsia"/>
                <w:bCs/>
                <w:iCs/>
                <w:szCs w:val="21"/>
              </w:rPr>
              <w:t xml:space="preserve">F_Port </w:t>
            </w:r>
            <w:r>
              <w:rPr>
                <w:rFonts w:hint="eastAsia" w:asciiTheme="minorEastAsia" w:hAnsiTheme="minorEastAsia" w:cstheme="minorEastAsia"/>
                <w:bCs/>
                <w:iCs/>
                <w:szCs w:val="21"/>
              </w:rPr>
              <w:t>和</w:t>
            </w:r>
            <w:r>
              <w:rPr>
                <w:rFonts w:asciiTheme="minorEastAsia" w:hAnsiTheme="minorEastAsia" w:cstheme="minorEastAsia"/>
                <w:bCs/>
                <w:iCs/>
                <w:szCs w:val="21"/>
              </w:rPr>
              <w:t>N_Port</w:t>
            </w:r>
            <w:r>
              <w:rPr>
                <w:rFonts w:hint="eastAsia" w:asciiTheme="minorEastAsia" w:hAnsiTheme="minorEastAsia" w:cstheme="minorEastAsia"/>
                <w:bCs/>
                <w:iCs/>
                <w:szCs w:val="21"/>
              </w:rPr>
              <w:t>（支持</w:t>
            </w:r>
            <w:r>
              <w:rPr>
                <w:rFonts w:asciiTheme="minorEastAsia" w:hAnsiTheme="minorEastAsia" w:cstheme="minorEastAsia"/>
                <w:bCs/>
                <w:iCs/>
                <w:szCs w:val="21"/>
              </w:rPr>
              <w:t xml:space="preserve"> NPIV </w:t>
            </w:r>
            <w:r>
              <w:rPr>
                <w:rFonts w:hint="eastAsia" w:asciiTheme="minorEastAsia" w:hAnsiTheme="minorEastAsia" w:cstheme="minorEastAsia"/>
                <w:bCs/>
                <w:iCs/>
                <w:szCs w:val="21"/>
              </w:rPr>
              <w:t>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12</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加密和压缩</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提供免费的加密和压缩功能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13</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多链路捆绑功能</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支持基于Frame的多链路捆绑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14</w:t>
            </w:r>
          </w:p>
        </w:tc>
        <w:tc>
          <w:tcPr>
            <w:tcW w:w="1164"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color w:val="000000" w:themeColor="text1"/>
                <w:szCs w:val="21"/>
              </w:rPr>
              <w:t>★</w:t>
            </w:r>
            <w:r>
              <w:rPr>
                <w:rFonts w:hint="eastAsia" w:asciiTheme="minorEastAsia" w:hAnsiTheme="minorEastAsia" w:cstheme="minorEastAsia"/>
                <w:bCs/>
                <w:iCs/>
                <w:szCs w:val="21"/>
              </w:rPr>
              <w:t>保修</w:t>
            </w:r>
          </w:p>
        </w:tc>
        <w:tc>
          <w:tcPr>
            <w:tcW w:w="3440" w:type="pct"/>
            <w:tcBorders>
              <w:top w:val="single" w:color="auto" w:sz="4" w:space="0"/>
              <w:left w:val="single" w:color="auto" w:sz="4" w:space="0"/>
              <w:bottom w:val="single" w:color="auto" w:sz="4" w:space="0"/>
              <w:right w:val="single" w:color="auto" w:sz="4" w:space="0"/>
            </w:tcBorders>
          </w:tcPr>
          <w:p>
            <w:pPr>
              <w:pStyle w:val="55"/>
              <w:snapToGrid w:val="0"/>
              <w:spacing w:line="360" w:lineRule="auto"/>
              <w:ind w:firstLine="0" w:firstLineChars="0"/>
              <w:rPr>
                <w:rFonts w:asciiTheme="minorEastAsia" w:hAnsiTheme="minorEastAsia" w:cstheme="minorEastAsia"/>
                <w:bCs/>
                <w:iCs/>
                <w:szCs w:val="21"/>
              </w:rPr>
            </w:pPr>
            <w:r>
              <w:rPr>
                <w:rFonts w:hint="eastAsia" w:asciiTheme="minorEastAsia" w:hAnsiTheme="minorEastAsia" w:cstheme="minorEastAsia"/>
                <w:bCs/>
                <w:iCs/>
                <w:szCs w:val="21"/>
              </w:rPr>
              <w:t>原厂保修3年，5X9电话支持，第</w:t>
            </w:r>
            <w:r>
              <w:rPr>
                <w:rFonts w:asciiTheme="minorEastAsia" w:hAnsiTheme="minorEastAsia" w:cstheme="minorEastAsia"/>
                <w:bCs/>
                <w:iCs/>
                <w:szCs w:val="21"/>
              </w:rPr>
              <w:t>二</w:t>
            </w:r>
            <w:r>
              <w:rPr>
                <w:rFonts w:hint="eastAsia" w:asciiTheme="minorEastAsia" w:hAnsiTheme="minorEastAsia" w:cstheme="minorEastAsia"/>
                <w:bCs/>
                <w:iCs/>
                <w:szCs w:val="21"/>
              </w:rPr>
              <w:t>天备件更换，包括备件和人工</w:t>
            </w:r>
          </w:p>
        </w:tc>
      </w:tr>
    </w:tbl>
    <w:p>
      <w:pPr>
        <w:pStyle w:val="55"/>
        <w:snapToGrid w:val="0"/>
        <w:spacing w:before="0" w:line="360" w:lineRule="auto"/>
        <w:ind w:firstLine="420"/>
        <w:jc w:val="both"/>
        <w:rPr>
          <w:rFonts w:asciiTheme="minorEastAsia" w:hAnsiTheme="minorEastAsia" w:cstheme="minorEastAsia"/>
          <w:bCs/>
          <w:sz w:val="21"/>
          <w:szCs w:val="21"/>
        </w:rPr>
      </w:pPr>
      <w:r>
        <w:rPr>
          <w:rFonts w:hint="eastAsia" w:asciiTheme="minorEastAsia" w:hAnsiTheme="minorEastAsia" w:cstheme="minorEastAsia"/>
          <w:bCs/>
          <w:sz w:val="21"/>
          <w:szCs w:val="21"/>
        </w:rPr>
        <w:t>3、云计算升级服务</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651"/>
        <w:gridCol w:w="5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0" w:type="pct"/>
            <w:shd w:val="clear" w:color="000000" w:fill="DAEEF3" w:themeFill="accent5" w:themeFillTint="33"/>
            <w:vAlign w:val="center"/>
          </w:tcPr>
          <w:p>
            <w:pPr>
              <w:pStyle w:val="55"/>
              <w:snapToGrid w:val="0"/>
              <w:spacing w:line="360" w:lineRule="auto"/>
              <w:ind w:firstLine="0" w:firstLineChars="0"/>
              <w:jc w:val="both"/>
              <w:rPr>
                <w:rFonts w:asciiTheme="minorEastAsia" w:hAnsiTheme="minorEastAsia" w:cstheme="minorEastAsia"/>
                <w:b/>
                <w:bCs/>
                <w:szCs w:val="21"/>
              </w:rPr>
            </w:pPr>
            <w:r>
              <w:rPr>
                <w:rFonts w:hint="eastAsia" w:asciiTheme="minorEastAsia" w:hAnsiTheme="minorEastAsia" w:cstheme="minorEastAsia"/>
                <w:b/>
                <w:bCs/>
                <w:szCs w:val="21"/>
              </w:rPr>
              <w:t>序号</w:t>
            </w:r>
          </w:p>
        </w:tc>
        <w:tc>
          <w:tcPr>
            <w:tcW w:w="968" w:type="pct"/>
            <w:shd w:val="clear" w:color="000000" w:fill="DAEEF3" w:themeFill="accent5" w:themeFillTint="33"/>
            <w:vAlign w:val="center"/>
          </w:tcPr>
          <w:p>
            <w:pPr>
              <w:pStyle w:val="55"/>
              <w:snapToGrid w:val="0"/>
              <w:spacing w:line="360" w:lineRule="auto"/>
              <w:ind w:firstLine="0" w:firstLineChars="0"/>
              <w:jc w:val="both"/>
              <w:rPr>
                <w:rFonts w:asciiTheme="minorEastAsia" w:hAnsiTheme="minorEastAsia" w:cstheme="minorEastAsia"/>
                <w:b/>
                <w:bCs/>
                <w:szCs w:val="21"/>
              </w:rPr>
            </w:pPr>
            <w:r>
              <w:rPr>
                <w:rFonts w:hint="eastAsia" w:asciiTheme="minorEastAsia" w:hAnsiTheme="minorEastAsia" w:cstheme="minorEastAsia"/>
                <w:b/>
                <w:bCs/>
                <w:szCs w:val="21"/>
              </w:rPr>
              <w:t>指标项目</w:t>
            </w:r>
          </w:p>
        </w:tc>
        <w:tc>
          <w:tcPr>
            <w:tcW w:w="3502" w:type="pct"/>
            <w:shd w:val="clear" w:color="000000" w:fill="DAEEF3" w:themeFill="accent5" w:themeFillTint="33"/>
            <w:vAlign w:val="center"/>
          </w:tcPr>
          <w:p>
            <w:pPr>
              <w:pStyle w:val="55"/>
              <w:snapToGrid w:val="0"/>
              <w:spacing w:line="360" w:lineRule="auto"/>
              <w:ind w:firstLine="0" w:firstLineChars="0"/>
              <w:jc w:val="both"/>
              <w:rPr>
                <w:rFonts w:asciiTheme="minorEastAsia" w:hAnsiTheme="minorEastAsia" w:cstheme="minorEastAsia"/>
                <w:b/>
                <w:bCs/>
                <w:szCs w:val="21"/>
              </w:rPr>
            </w:pPr>
            <w:r>
              <w:rPr>
                <w:rFonts w:hint="eastAsia" w:asciiTheme="minorEastAsia" w:hAnsiTheme="minorEastAsia" w:cstheme="minorEastAsia"/>
                <w:b/>
                <w:bCs/>
                <w:szCs w:val="21"/>
              </w:rPr>
              <w:t>指 标 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9" w:hRule="atLeast"/>
        </w:trPr>
        <w:tc>
          <w:tcPr>
            <w:tcW w:w="530"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1</w:t>
            </w:r>
          </w:p>
        </w:tc>
        <w:tc>
          <w:tcPr>
            <w:tcW w:w="968"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服务总体要求</w:t>
            </w:r>
          </w:p>
        </w:tc>
        <w:tc>
          <w:tcPr>
            <w:tcW w:w="3502"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1、根据本次平台采购设备撰写合理性的总体升级实施方案，根据用户要求进行升级规划和实施；</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2、根据实施方案，协调硬件供货商对设备进行基础性安装，并结合实际应用给出设备的安装配置参数；</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3、根据业务应用软件供应商的要求，对平台给出针对性的优化方案，并定期提供系统优化报告；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530"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2</w:t>
            </w:r>
          </w:p>
        </w:tc>
        <w:tc>
          <w:tcPr>
            <w:tcW w:w="968"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color w:val="000000" w:themeColor="text1"/>
                <w:szCs w:val="21"/>
              </w:rPr>
              <w:t>★</w:t>
            </w:r>
            <w:r>
              <w:rPr>
                <w:rFonts w:hint="eastAsia" w:asciiTheme="minorEastAsia" w:hAnsiTheme="minorEastAsia" w:cstheme="minorEastAsia"/>
                <w:bCs/>
                <w:szCs w:val="21"/>
              </w:rPr>
              <w:t>服务响应时间要求</w:t>
            </w:r>
          </w:p>
        </w:tc>
        <w:tc>
          <w:tcPr>
            <w:tcW w:w="3502"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项目出现任何硬件平台系统故障时，30分钟内响应，4小时内到达现场(包含节假日)并在到达现场后2小时解决故障。</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服务期内，提供全天候7×24小时服务。要求提供服务期内详细维护计划。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530"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3</w:t>
            </w:r>
          </w:p>
        </w:tc>
        <w:tc>
          <w:tcPr>
            <w:tcW w:w="968"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color w:val="000000" w:themeColor="text1"/>
                <w:szCs w:val="21"/>
              </w:rPr>
              <w:t>★</w:t>
            </w:r>
            <w:r>
              <w:rPr>
                <w:rFonts w:hint="eastAsia" w:asciiTheme="minorEastAsia" w:hAnsiTheme="minorEastAsia" w:cstheme="minorEastAsia"/>
                <w:bCs/>
                <w:szCs w:val="21"/>
              </w:rPr>
              <w:t>具体服务要求</w:t>
            </w:r>
          </w:p>
        </w:tc>
        <w:tc>
          <w:tcPr>
            <w:tcW w:w="3502"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每月对系统进行预防性检查维护，保障系统的稳定运行；</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进行技术交流和反馈，填写维护记录，并定期提供客户服务维护技术档案，以提高客户技术人员的日常维护水平和对问题的解决能力；</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对客户系统运行提供合理化建议；对客户正常操作进行培训（停机、重启、主副机切换、数据备份，操作流程写入工作日志）；</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安排专门的项目经理负责协调、管理服务的实施并作为与用户的接口；</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7*24小时电话和远程响应和远程登录服务支持；</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7*24小时提供现场服务响应，在远程支持难以满足服务等级协议（SLA）要求时4小时内到达现场提供技术支持；</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提供系统升级和补丁程序安装支持服务；</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结合业务应用软件，每季度实施一次系统健康状况检查和优化调整；</w:t>
            </w:r>
          </w:p>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每季度提供一次技术交流和服务评估；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530"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4</w:t>
            </w:r>
          </w:p>
        </w:tc>
        <w:tc>
          <w:tcPr>
            <w:tcW w:w="968"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培训要求</w:t>
            </w:r>
          </w:p>
        </w:tc>
        <w:tc>
          <w:tcPr>
            <w:tcW w:w="3502" w:type="pct"/>
            <w:shd w:val="clear" w:color="000000" w:fill="FFFFFF"/>
            <w:vAlign w:val="center"/>
          </w:tcPr>
          <w:p>
            <w:pPr>
              <w:pStyle w:val="55"/>
              <w:snapToGrid w:val="0"/>
              <w:spacing w:line="360" w:lineRule="auto"/>
              <w:ind w:firstLine="0" w:firstLineChars="0"/>
              <w:jc w:val="both"/>
              <w:rPr>
                <w:rFonts w:asciiTheme="minorEastAsia" w:hAnsiTheme="minorEastAsia" w:cstheme="minorEastAsia"/>
                <w:bCs/>
                <w:szCs w:val="21"/>
              </w:rPr>
            </w:pPr>
            <w:r>
              <w:rPr>
                <w:rFonts w:hint="eastAsia" w:asciiTheme="minorEastAsia" w:hAnsiTheme="minorEastAsia" w:cstheme="minorEastAsia"/>
                <w:bCs/>
                <w:szCs w:val="21"/>
              </w:rPr>
              <w:t>提供主要产品（服务器）的培训服务，要求提供具体培训方案，方案需包含培训课程、培训人数、培训场地等。</w:t>
            </w:r>
          </w:p>
        </w:tc>
      </w:tr>
    </w:tbl>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4"/>
        <w:snapToGrid w:val="0"/>
        <w:spacing w:before="0" w:after="0" w:line="360" w:lineRule="auto"/>
        <w:rPr>
          <w:rFonts w:asciiTheme="minorEastAsia" w:hAnsiTheme="minorEastAsia" w:eastAsiaTheme="minorEastAsia" w:cstheme="minorEastAsia"/>
        </w:rPr>
      </w:pPr>
      <w:bookmarkStart w:id="105" w:name="_Toc43907177"/>
      <w:r>
        <w:rPr>
          <w:rFonts w:hint="eastAsia" w:asciiTheme="minorEastAsia" w:hAnsiTheme="minorEastAsia" w:eastAsiaTheme="minorEastAsia" w:cstheme="minorEastAsia"/>
        </w:rPr>
        <w:t>第六章 投标文件格式</w:t>
      </w:r>
      <w:bookmarkEnd w:id="105"/>
    </w:p>
    <w:p>
      <w:pPr>
        <w:pStyle w:val="6"/>
        <w:snapToGrid w:val="0"/>
        <w:spacing w:before="0" w:after="0" w:line="360" w:lineRule="auto"/>
        <w:jc w:val="center"/>
        <w:rPr>
          <w:rFonts w:cstheme="minorEastAsia"/>
        </w:rPr>
      </w:pPr>
      <w:bookmarkStart w:id="106" w:name="_Toc43907178"/>
      <w:r>
        <w:rPr>
          <w:rFonts w:hint="eastAsia" w:cstheme="minorEastAsia"/>
        </w:rPr>
        <w:t>封面</w:t>
      </w:r>
      <w:bookmarkEnd w:id="106"/>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正本/副本</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ind w:firstLine="960"/>
        <w:jc w:val="center"/>
        <w:rPr>
          <w:rFonts w:asciiTheme="minorEastAsia" w:hAnsiTheme="minorEastAsia" w:cstheme="minorEastAsia"/>
          <w:sz w:val="28"/>
          <w:szCs w:val="28"/>
        </w:rPr>
      </w:pPr>
      <w:r>
        <w:rPr>
          <w:rFonts w:hint="eastAsia" w:asciiTheme="minorEastAsia" w:hAnsiTheme="minorEastAsia" w:cstheme="minorEastAsia"/>
          <w:bCs/>
          <w:sz w:val="48"/>
          <w:szCs w:val="48"/>
        </w:rPr>
        <w:t>扬州市民卡“扬州公用事业缴费中心系统建设”</w:t>
      </w:r>
      <w:r>
        <w:rPr>
          <w:rFonts w:hint="eastAsia" w:asciiTheme="minorEastAsia" w:hAnsiTheme="minorEastAsia" w:cstheme="minorEastAsia"/>
          <w:szCs w:val="21"/>
        </w:rPr>
        <w:t xml:space="preserve"> </w:t>
      </w:r>
      <w:r>
        <w:rPr>
          <w:rFonts w:hint="eastAsia" w:asciiTheme="minorEastAsia" w:hAnsiTheme="minorEastAsia" w:cstheme="minorEastAsia"/>
          <w:bCs/>
          <w:sz w:val="48"/>
          <w:szCs w:val="48"/>
        </w:rPr>
        <w:t>云计算环境升级及服务</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ind w:left="560" w:firstLine="0" w:firstLineChars="0"/>
        <w:jc w:val="center"/>
        <w:rPr>
          <w:rFonts w:asciiTheme="minorEastAsia" w:hAnsiTheme="minorEastAsia" w:cstheme="minorEastAsia"/>
          <w:b/>
          <w:spacing w:val="160"/>
          <w:kern w:val="36"/>
          <w:sz w:val="56"/>
          <w:szCs w:val="56"/>
        </w:rPr>
      </w:pPr>
      <w:r>
        <w:rPr>
          <w:rFonts w:hint="eastAsia" w:asciiTheme="minorEastAsia" w:hAnsiTheme="minorEastAsia" w:cstheme="minorEastAsia"/>
          <w:b/>
          <w:spacing w:val="160"/>
          <w:kern w:val="36"/>
          <w:sz w:val="56"/>
          <w:szCs w:val="56"/>
        </w:rPr>
        <w:t>投标文件</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（盖单位章）</w:t>
      </w:r>
    </w:p>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法定代表人（单位负责人）或其委托代理人：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jc w:val="center"/>
        <w:rPr>
          <w:rFonts w:asciiTheme="minorEastAsia" w:hAnsiTheme="minorEastAsia" w:cstheme="minorEastAsia"/>
        </w:rPr>
      </w:pP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日</w:t>
      </w: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snapToGrid w:val="0"/>
        <w:spacing w:line="360" w:lineRule="auto"/>
        <w:ind w:firstLine="720"/>
        <w:jc w:val="center"/>
        <w:rPr>
          <w:rFonts w:asciiTheme="minorEastAsia" w:hAnsiTheme="minorEastAsia" w:cstheme="minorEastAsia"/>
          <w:sz w:val="36"/>
          <w:szCs w:val="36"/>
        </w:rPr>
      </w:pPr>
      <w:r>
        <w:rPr>
          <w:rFonts w:hint="eastAsia" w:asciiTheme="minorEastAsia" w:hAnsiTheme="minorEastAsia" w:cstheme="minorEastAsia"/>
          <w:sz w:val="36"/>
          <w:szCs w:val="36"/>
        </w:rPr>
        <w:t>评分表</w:t>
      </w:r>
    </w:p>
    <w:tbl>
      <w:tblPr>
        <w:tblStyle w:val="27"/>
        <w:tblW w:w="9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350"/>
        <w:gridCol w:w="6608"/>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2" w:type="dxa"/>
            <w:gridSpan w:val="2"/>
            <w:vAlign w:val="center"/>
          </w:tcPr>
          <w:p>
            <w:pPr>
              <w:pStyle w:val="53"/>
              <w:widowControl/>
              <w:adjustRightInd w:val="0"/>
              <w:snapToGrid w:val="0"/>
              <w:spacing w:before="0" w:beforeAutospacing="0" w:after="0" w:afterAutospacing="0"/>
              <w:jc w:val="center"/>
              <w:rPr>
                <w:rFonts w:asciiTheme="minorEastAsia" w:hAnsiTheme="minorEastAsia" w:cstheme="minorEastAsia"/>
              </w:rPr>
            </w:pPr>
            <w:r>
              <w:rPr>
                <w:rFonts w:hint="eastAsia" w:ascii="宋体" w:hAnsi="宋体" w:cs="宋体"/>
                <w:sz w:val="21"/>
                <w:szCs w:val="21"/>
              </w:rPr>
              <w:t>评审因素</w:t>
            </w:r>
          </w:p>
        </w:tc>
        <w:tc>
          <w:tcPr>
            <w:tcW w:w="6608" w:type="dxa"/>
            <w:vAlign w:val="center"/>
          </w:tcPr>
          <w:p>
            <w:pPr>
              <w:jc w:val="center"/>
              <w:rPr>
                <w:rFonts w:asciiTheme="minorEastAsia" w:hAnsiTheme="minorEastAsia" w:cstheme="minorEastAsia"/>
              </w:rPr>
            </w:pPr>
            <w:r>
              <w:rPr>
                <w:rFonts w:hint="eastAsia" w:ascii="宋体" w:hAnsi="宋体" w:cs="宋体"/>
                <w:szCs w:val="21"/>
              </w:rPr>
              <w:t>评审标准</w:t>
            </w:r>
          </w:p>
        </w:tc>
        <w:tc>
          <w:tcPr>
            <w:tcW w:w="1110" w:type="dxa"/>
            <w:vAlign w:val="center"/>
          </w:tcPr>
          <w:p>
            <w:pPr>
              <w:ind w:firstLine="0" w:firstLineChars="0"/>
              <w:rPr>
                <w:rFonts w:ascii="宋体" w:hAnsi="宋体" w:cs="宋体"/>
                <w:szCs w:val="21"/>
              </w:rPr>
            </w:pPr>
            <w:r>
              <w:rPr>
                <w:rFonts w:hint="eastAsia" w:ascii="宋体" w:hAnsi="宋体" w:cs="宋体"/>
                <w:szCs w:val="21"/>
              </w:rPr>
              <w:t>投标文件</w:t>
            </w:r>
          </w:p>
          <w:p>
            <w:pPr>
              <w:ind w:firstLine="0" w:firstLineChars="0"/>
              <w:rPr>
                <w:rFonts w:ascii="宋体" w:hAnsi="宋体" w:cs="宋体"/>
                <w:szCs w:val="21"/>
              </w:rPr>
            </w:pPr>
            <w:r>
              <w:rPr>
                <w:rFonts w:hint="eastAsia" w:ascii="宋体" w:hAnsi="宋体" w:cs="宋体"/>
                <w:szCs w:val="21"/>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2" w:type="dxa"/>
            <w:gridSpan w:val="2"/>
            <w:vAlign w:val="center"/>
          </w:tcPr>
          <w:p>
            <w:pPr>
              <w:pStyle w:val="53"/>
              <w:widowControl/>
              <w:adjustRightInd w:val="0"/>
              <w:snapToGrid w:val="0"/>
              <w:spacing w:before="0" w:beforeAutospacing="0" w:after="0" w:afterAutospacing="0"/>
              <w:rPr>
                <w:rFonts w:asciiTheme="minorEastAsia" w:hAnsiTheme="minorEastAsia" w:cstheme="minorEastAsia"/>
              </w:rPr>
            </w:pPr>
            <w:r>
              <w:rPr>
                <w:rFonts w:hint="eastAsia" w:ascii="宋体" w:hAnsi="宋体" w:cs="宋体"/>
                <w:bCs/>
                <w:sz w:val="21"/>
                <w:szCs w:val="21"/>
              </w:rPr>
              <w:t>投标报价（30分）</w:t>
            </w:r>
          </w:p>
        </w:tc>
        <w:tc>
          <w:tcPr>
            <w:tcW w:w="6608" w:type="dxa"/>
            <w:vAlign w:val="center"/>
          </w:tcPr>
          <w:p>
            <w:pPr>
              <w:snapToGrid w:val="0"/>
              <w:ind w:firstLine="0" w:firstLineChars="0"/>
              <w:jc w:val="left"/>
            </w:pPr>
            <w:r>
              <w:rPr>
                <w:rFonts w:hint="eastAsia"/>
              </w:rPr>
              <w:t>以满足采购文件要求且投价最低的投标报价为评标的基准价。其他投标人的价格分统一按照下列公式计算：投标报价得分=(评标基准价/投标报价)×30。(计算结果四舍五入保留两位小数)。</w:t>
            </w:r>
          </w:p>
        </w:tc>
        <w:tc>
          <w:tcPr>
            <w:tcW w:w="1110" w:type="dxa"/>
            <w:vAlign w:val="center"/>
          </w:tcPr>
          <w:p>
            <w:pPr>
              <w:snapToGrid w:val="0"/>
              <w:ind w:firstLine="0" w:firstLineChars="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商务评分标准（20分）</w:t>
            </w:r>
          </w:p>
        </w:tc>
        <w:tc>
          <w:tcPr>
            <w:tcW w:w="1350"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投标人公司信誉、资质等证明（15分）</w:t>
            </w:r>
          </w:p>
        </w:tc>
        <w:tc>
          <w:tcPr>
            <w:tcW w:w="6608" w:type="dxa"/>
            <w:vAlign w:val="center"/>
          </w:tcPr>
          <w:p>
            <w:pPr>
              <w:snapToGrid w:val="0"/>
              <w:ind w:firstLine="0" w:firstLineChars="0"/>
              <w:rPr>
                <w:rFonts w:asciiTheme="minorEastAsia" w:hAnsiTheme="minorEastAsia" w:cstheme="minorEastAsia"/>
                <w:color w:val="000000"/>
                <w:szCs w:val="21"/>
              </w:rPr>
            </w:pPr>
            <w:r>
              <w:rPr>
                <w:rFonts w:hint="eastAsia" w:asciiTheme="minorEastAsia" w:hAnsiTheme="minorEastAsia" w:cstheme="minorEastAsia"/>
                <w:kern w:val="0"/>
              </w:rPr>
              <w:t>投标人具有有效期内的</w:t>
            </w:r>
            <w:r>
              <w:rPr>
                <w:rFonts w:hint="eastAsia" w:asciiTheme="minorEastAsia" w:hAnsiTheme="minorEastAsia" w:cstheme="minorEastAsia"/>
                <w:kern w:val="0"/>
                <w:szCs w:val="21"/>
              </w:rPr>
              <w:t>ISO9001质量管理体系认证证书、信息系统集成与服务资质证书、CMMI资质证书、高新技术企业证书、两化融合管理体系评定证书</w:t>
            </w:r>
            <w:r>
              <w:rPr>
                <w:rFonts w:hint="eastAsia" w:asciiTheme="minorEastAsia" w:hAnsiTheme="minorEastAsia" w:cstheme="minorEastAsia"/>
                <w:szCs w:val="21"/>
              </w:rPr>
              <w:t>，全部满足</w:t>
            </w:r>
            <w:r>
              <w:rPr>
                <w:rFonts w:hint="eastAsia" w:asciiTheme="minorEastAsia" w:hAnsiTheme="minorEastAsia" w:cstheme="minorEastAsia"/>
                <w:color w:val="000000"/>
                <w:szCs w:val="21"/>
              </w:rPr>
              <w:t>得15分，部分满足得10分，全部不满足不得分</w:t>
            </w:r>
            <w:r>
              <w:rPr>
                <w:rFonts w:hint="eastAsia" w:asciiTheme="minorEastAsia" w:hAnsiTheme="minorEastAsia" w:cstheme="minorEastAsia"/>
                <w:szCs w:val="21"/>
              </w:rPr>
              <w:t>。（证书复印件加盖投标人公</w:t>
            </w:r>
            <w:r>
              <w:rPr>
                <w:rFonts w:hint="eastAsia" w:asciiTheme="minorEastAsia" w:hAnsiTheme="minorEastAsia" w:cstheme="minorEastAsia"/>
                <w:color w:val="000000"/>
                <w:szCs w:val="21"/>
              </w:rPr>
              <w:t>章装订于投标文件中）</w:t>
            </w:r>
          </w:p>
        </w:tc>
        <w:tc>
          <w:tcPr>
            <w:tcW w:w="1110" w:type="dxa"/>
            <w:vAlign w:val="center"/>
          </w:tcPr>
          <w:p>
            <w:pPr>
              <w:ind w:firstLine="0" w:firstLineChars="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Merge w:val="continue"/>
            <w:vAlign w:val="center"/>
          </w:tcPr>
          <w:p>
            <w:pPr>
              <w:snapToGrid w:val="0"/>
              <w:ind w:firstLine="0" w:firstLineChars="0"/>
              <w:jc w:val="center"/>
              <w:rPr>
                <w:rFonts w:asciiTheme="minorEastAsia" w:hAnsiTheme="minorEastAsia" w:cstheme="minorEastAsia"/>
              </w:rPr>
            </w:pPr>
          </w:p>
        </w:tc>
        <w:tc>
          <w:tcPr>
            <w:tcW w:w="1350"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业绩（5分）</w:t>
            </w:r>
          </w:p>
        </w:tc>
        <w:tc>
          <w:tcPr>
            <w:tcW w:w="6608"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color w:val="000000"/>
                <w:szCs w:val="21"/>
              </w:rPr>
              <w:t>投标人提供2017年（</w:t>
            </w:r>
            <w:r>
              <w:rPr>
                <w:rFonts w:hint="eastAsia" w:asciiTheme="minorEastAsia" w:hAnsiTheme="minorEastAsia" w:cstheme="minorEastAsia"/>
                <w:szCs w:val="21"/>
              </w:rPr>
              <w:t>以合同签订时间为准</w:t>
            </w:r>
            <w:r>
              <w:rPr>
                <w:rFonts w:hint="eastAsia" w:asciiTheme="minorEastAsia" w:hAnsiTheme="minorEastAsia" w:cstheme="minorEastAsia"/>
                <w:color w:val="000000"/>
                <w:szCs w:val="21"/>
              </w:rPr>
              <w:t>）以来不少于5个系统集成或运维服务合同。每提供一份合同得1分，最高得5分。</w:t>
            </w:r>
            <w:r>
              <w:rPr>
                <w:rFonts w:hint="eastAsia" w:asciiTheme="minorEastAsia" w:hAnsiTheme="minorEastAsia" w:cstheme="minorEastAsia"/>
                <w:szCs w:val="21"/>
              </w:rPr>
              <w:t>[合同复印件加盖投标人公章装订于投标文件中]</w:t>
            </w:r>
          </w:p>
        </w:tc>
        <w:tc>
          <w:tcPr>
            <w:tcW w:w="1110" w:type="dxa"/>
            <w:vAlign w:val="center"/>
          </w:tcPr>
          <w:p>
            <w:pPr>
              <w:snapToGrid w:val="0"/>
              <w:ind w:firstLine="0" w:firstLineChars="0"/>
              <w:jc w:val="lef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技术评分标准（50分）</w:t>
            </w:r>
          </w:p>
        </w:tc>
        <w:tc>
          <w:tcPr>
            <w:tcW w:w="1350"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技术方案（20分）</w:t>
            </w:r>
          </w:p>
        </w:tc>
        <w:tc>
          <w:tcPr>
            <w:tcW w:w="6608"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1、方案中体现对采购人现有扬州市民卡云计算平台现状高度熟悉，且有针对性的提出现有平台升级方案，设计详尽、完全符合采购人实际情况，技术实现可靠、先进，可操作性强的得20分； 2、方案中对采购人现有扬州市民卡云计算平台现状了解的，现有平台升级方案完整性、合理性、技术先进性较为详尽得10-15分； 3、方案中对采购人现有扬州市民卡云计算平台现状不了解的，现有平台升级改造方案完整性、合理性、技术先进性不符合客户实际情况的，得0分。</w:t>
            </w:r>
          </w:p>
        </w:tc>
        <w:tc>
          <w:tcPr>
            <w:tcW w:w="1110" w:type="dxa"/>
            <w:vAlign w:val="center"/>
          </w:tcPr>
          <w:p>
            <w:pPr>
              <w:snapToGrid w:val="0"/>
              <w:ind w:firstLine="0" w:firstLineChars="0"/>
              <w:jc w:val="left"/>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Merge w:val="continue"/>
            <w:vAlign w:val="center"/>
          </w:tcPr>
          <w:p>
            <w:pPr>
              <w:snapToGrid w:val="0"/>
              <w:ind w:firstLine="0" w:firstLineChars="0"/>
              <w:jc w:val="center"/>
              <w:rPr>
                <w:rFonts w:asciiTheme="minorEastAsia" w:hAnsiTheme="minorEastAsia" w:cstheme="minorEastAsia"/>
              </w:rPr>
            </w:pPr>
          </w:p>
        </w:tc>
        <w:tc>
          <w:tcPr>
            <w:tcW w:w="1350"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产品功能、性能、配置要求（20分）</w:t>
            </w:r>
          </w:p>
        </w:tc>
        <w:tc>
          <w:tcPr>
            <w:tcW w:w="6608"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打★号指标为必须满足项，如有负偏离将作为无效报价；</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 xml:space="preserve">全部满足得20分； </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打▲号指标，有一项负偏离扣2分，扣完为止。</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参数要求中打▲号指标,其中明确了需要提供原厂官方白皮书或彩页证明等证明文件的，如不提供不得分。</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其他指标，有一项负偏离扣1分，扣完为止。其中需要提供证明文件的,不提供不得分。</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采购人在选定中标供应商后，有权利根据中标供应商对产品参数的响应进行功能性测试，如发现对招标需求中技术参数中的技术要求的响应与事实不符或与提供的响应支持文件不符的、虚假投标的，将取消其中标资格，并报财政备案。</w:t>
            </w:r>
          </w:p>
        </w:tc>
        <w:tc>
          <w:tcPr>
            <w:tcW w:w="1110" w:type="dxa"/>
            <w:vAlign w:val="center"/>
          </w:tcPr>
          <w:p>
            <w:pPr>
              <w:snapToGrid w:val="0"/>
              <w:ind w:firstLine="0" w:firstLineChars="0"/>
              <w:jc w:val="left"/>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Merge w:val="continue"/>
            <w:vAlign w:val="center"/>
          </w:tcPr>
          <w:p>
            <w:pPr>
              <w:snapToGrid w:val="0"/>
              <w:ind w:firstLine="0" w:firstLineChars="0"/>
              <w:jc w:val="center"/>
              <w:rPr>
                <w:rFonts w:asciiTheme="minorEastAsia" w:hAnsiTheme="minorEastAsia" w:cstheme="minorEastAsia"/>
              </w:rPr>
            </w:pPr>
          </w:p>
        </w:tc>
        <w:tc>
          <w:tcPr>
            <w:tcW w:w="1350"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color w:val="000000"/>
                <w:szCs w:val="21"/>
              </w:rPr>
              <w:t>售后服务与培训方案（10分）</w:t>
            </w:r>
          </w:p>
        </w:tc>
        <w:tc>
          <w:tcPr>
            <w:tcW w:w="6608"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szCs w:val="21"/>
              </w:rPr>
              <w:t>投标单位提供详细的售后服务方案、培训方案（如服务体系、服务内容、故障解决方案、响应次数、响应时间、培训方案、专业技术人员保障等）, 由评委根据投标人提供方案的合理程度打分</w:t>
            </w:r>
            <w:r>
              <w:rPr>
                <w:rFonts w:hint="eastAsia" w:asciiTheme="minorEastAsia" w:hAnsiTheme="minorEastAsia" w:cstheme="minorEastAsia"/>
                <w:szCs w:val="21"/>
                <w:lang w:val="zh-TW"/>
              </w:rPr>
              <w:t>。</w:t>
            </w:r>
            <w:r>
              <w:rPr>
                <w:rFonts w:hint="eastAsia" w:asciiTheme="minorEastAsia" w:hAnsiTheme="minorEastAsia" w:cstheme="minorEastAsia"/>
              </w:rPr>
              <w:t>优得</w:t>
            </w:r>
            <w:r>
              <w:rPr>
                <w:rFonts w:hint="eastAsia" w:asciiTheme="minorEastAsia" w:hAnsiTheme="minorEastAsia" w:cstheme="minorEastAsia"/>
                <w:kern w:val="0"/>
              </w:rPr>
              <w:t>10分，良好得6-8分，一般得4-2分，没有不得分</w:t>
            </w:r>
            <w:r>
              <w:rPr>
                <w:rFonts w:hint="eastAsia" w:asciiTheme="minorEastAsia" w:hAnsiTheme="minorEastAsia" w:cstheme="minorEastAsia"/>
                <w:szCs w:val="21"/>
                <w:lang w:val="zh-TW" w:eastAsia="zh-TW"/>
              </w:rPr>
              <w:t>。</w:t>
            </w:r>
          </w:p>
        </w:tc>
        <w:tc>
          <w:tcPr>
            <w:tcW w:w="1110" w:type="dxa"/>
            <w:vAlign w:val="center"/>
          </w:tcPr>
          <w:p>
            <w:pPr>
              <w:snapToGrid w:val="0"/>
              <w:ind w:firstLine="0" w:firstLineChars="0"/>
              <w:jc w:val="left"/>
              <w:rPr>
                <w:rFonts w:ascii="宋体" w:hAnsi="宋体" w:cs="宋体"/>
                <w:color w:val="000000"/>
                <w:szCs w:val="21"/>
              </w:rPr>
            </w:pPr>
          </w:p>
        </w:tc>
      </w:tr>
    </w:tbl>
    <w:p>
      <w:pPr>
        <w:rPr>
          <w:rFonts w:cstheme="minorEastAsia"/>
        </w:rPr>
      </w:pPr>
      <w:r>
        <w:rPr>
          <w:rFonts w:hint="eastAsia" w:cstheme="minorEastAsia"/>
        </w:rPr>
        <w:br w:type="page"/>
      </w:r>
    </w:p>
    <w:p>
      <w:pPr>
        <w:pStyle w:val="6"/>
        <w:snapToGrid w:val="0"/>
        <w:spacing w:before="0" w:after="0" w:line="360" w:lineRule="auto"/>
        <w:jc w:val="center"/>
        <w:rPr>
          <w:rFonts w:cstheme="minorEastAsia"/>
        </w:rPr>
      </w:pPr>
      <w:bookmarkStart w:id="107" w:name="_Toc43907179"/>
      <w:r>
        <w:rPr>
          <w:rFonts w:hint="eastAsia" w:cstheme="minorEastAsia"/>
        </w:rPr>
        <w:t>目录</w:t>
      </w:r>
      <w:bookmarkEnd w:id="107"/>
    </w:p>
    <w:p>
      <w:pPr>
        <w:pStyle w:val="46"/>
        <w:snapToGrid w:val="0"/>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t>（投标人应详细编写目录并自动生成页码）</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6"/>
        <w:snapToGrid w:val="0"/>
        <w:spacing w:before="0" w:after="0" w:line="360" w:lineRule="auto"/>
        <w:jc w:val="center"/>
        <w:rPr>
          <w:rFonts w:cstheme="minorEastAsia"/>
        </w:rPr>
      </w:pPr>
      <w:bookmarkStart w:id="108" w:name="_Toc43907180"/>
      <w:r>
        <w:rPr>
          <w:rFonts w:hint="eastAsia" w:cstheme="minorEastAsia"/>
        </w:rPr>
        <w:t>一、投标函</w:t>
      </w:r>
      <w:bookmarkEnd w:id="108"/>
    </w:p>
    <w:p>
      <w:pPr>
        <w:snapToGrid w:val="0"/>
        <w:spacing w:line="360" w:lineRule="auto"/>
        <w:ind w:firstLine="0" w:firstLineChars="0"/>
        <w:rPr>
          <w:rFonts w:asciiTheme="minorEastAsia" w:hAnsiTheme="minorEastAsia" w:cstheme="minorEastAsia"/>
        </w:rPr>
      </w:pPr>
      <w:r>
        <w:rPr>
          <w:rFonts w:hint="eastAsia" w:asciiTheme="minorEastAsia" w:hAnsiTheme="minorEastAsia" w:cstheme="minorEastAsia"/>
          <w:color w:val="000000"/>
          <w:szCs w:val="21"/>
          <w:u w:val="single"/>
        </w:rPr>
        <w:t>扬州市民卡有限责任公司</w:t>
      </w:r>
      <w:r>
        <w:rPr>
          <w:rFonts w:hint="eastAsia" w:asciiTheme="minorEastAsia" w:hAnsiTheme="minorEastAsia" w:cstheme="minorEastAsia"/>
        </w:rPr>
        <w:t>（招标人名称）：</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1．我方已仔细研究了</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（项目名称）项目招标文件的全部内容，愿意以人民币（大写）</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）的投标总报价提供</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（设备名称/服务），并按合同约定履行义务。</w:t>
      </w:r>
    </w:p>
    <w:p>
      <w:pPr>
        <w:snapToGrid w:val="0"/>
        <w:spacing w:line="360" w:lineRule="auto"/>
        <w:rPr>
          <w:rFonts w:asciiTheme="minorEastAsia" w:hAnsiTheme="minorEastAsia" w:cstheme="minorEastAsia"/>
        </w:rPr>
      </w:pPr>
      <w:r>
        <w:rPr>
          <w:rFonts w:hint="eastAsia" w:asciiTheme="minorEastAsia" w:hAnsiTheme="minorEastAsia" w:cstheme="minorEastAsia"/>
        </w:rPr>
        <w:t>2．我方的投标文件包括下列内容：</w:t>
      </w:r>
    </w:p>
    <w:p>
      <w:pPr>
        <w:snapToGrid w:val="0"/>
        <w:spacing w:line="360" w:lineRule="auto"/>
        <w:rPr>
          <w:rFonts w:asciiTheme="minorEastAsia" w:hAnsiTheme="minorEastAsia" w:cstheme="minorEastAsia"/>
        </w:rPr>
      </w:pPr>
      <w:r>
        <w:rPr>
          <w:rFonts w:hint="eastAsia" w:asciiTheme="minorEastAsia" w:hAnsiTheme="minorEastAsia" w:cstheme="minorEastAsia"/>
        </w:rPr>
        <w:t>（1）投标函；</w:t>
      </w:r>
    </w:p>
    <w:p>
      <w:pPr>
        <w:snapToGrid w:val="0"/>
        <w:spacing w:line="360" w:lineRule="auto"/>
        <w:rPr>
          <w:rFonts w:asciiTheme="minorEastAsia" w:hAnsiTheme="minorEastAsia" w:cstheme="minorEastAsia"/>
        </w:rPr>
      </w:pPr>
      <w:r>
        <w:rPr>
          <w:rFonts w:hint="eastAsia" w:asciiTheme="minorEastAsia" w:hAnsiTheme="minorEastAsia" w:cstheme="minorEastAsia"/>
        </w:rPr>
        <w:t>（2）法定代表人（单位负责人）身份证明</w:t>
      </w:r>
    </w:p>
    <w:p>
      <w:pPr>
        <w:snapToGrid w:val="0"/>
        <w:spacing w:line="360" w:lineRule="auto"/>
        <w:rPr>
          <w:rFonts w:asciiTheme="minorEastAsia" w:hAnsiTheme="minorEastAsia" w:cstheme="minorEastAsia"/>
        </w:rPr>
      </w:pPr>
      <w:r>
        <w:rPr>
          <w:rFonts w:hint="eastAsia" w:asciiTheme="minorEastAsia" w:hAnsiTheme="minorEastAsia" w:cstheme="minorEastAsia"/>
        </w:rPr>
        <w:t>（3）授权委托书；</w:t>
      </w:r>
    </w:p>
    <w:p>
      <w:pPr>
        <w:snapToGrid w:val="0"/>
        <w:spacing w:line="360" w:lineRule="auto"/>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4</w:t>
      </w:r>
      <w:r>
        <w:rPr>
          <w:rFonts w:hint="eastAsia" w:asciiTheme="minorEastAsia" w:hAnsiTheme="minorEastAsia" w:cstheme="minorEastAsia"/>
        </w:rPr>
        <w:t>）商务和技术偏差表；</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w:t>
      </w:r>
      <w:r>
        <w:rPr>
          <w:rFonts w:asciiTheme="minorEastAsia" w:hAnsiTheme="minorEastAsia" w:cstheme="minorEastAsia"/>
          <w:szCs w:val="21"/>
        </w:rPr>
        <w:t>5</w:t>
      </w:r>
      <w:r>
        <w:rPr>
          <w:rFonts w:hint="eastAsia" w:asciiTheme="minorEastAsia" w:hAnsiTheme="minorEastAsia" w:cstheme="minorEastAsia"/>
          <w:szCs w:val="21"/>
        </w:rPr>
        <w:t>）报价表；</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w:t>
      </w:r>
      <w:r>
        <w:rPr>
          <w:rFonts w:asciiTheme="minorEastAsia" w:hAnsiTheme="minorEastAsia" w:cstheme="minorEastAsia"/>
          <w:szCs w:val="21"/>
        </w:rPr>
        <w:t>6</w:t>
      </w:r>
      <w:r>
        <w:rPr>
          <w:rFonts w:hint="eastAsia" w:asciiTheme="minorEastAsia" w:hAnsiTheme="minorEastAsia" w:cstheme="minorEastAsia"/>
          <w:szCs w:val="21"/>
        </w:rPr>
        <w:t>）资格审查资料；</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w:t>
      </w:r>
      <w:r>
        <w:rPr>
          <w:rFonts w:asciiTheme="minorEastAsia" w:hAnsiTheme="minorEastAsia" w:cstheme="minorEastAsia"/>
          <w:szCs w:val="21"/>
        </w:rPr>
        <w:t>7</w:t>
      </w:r>
      <w:r>
        <w:rPr>
          <w:rFonts w:hint="eastAsia" w:asciiTheme="minorEastAsia" w:hAnsiTheme="minorEastAsia" w:cstheme="minorEastAsia"/>
          <w:szCs w:val="21"/>
        </w:rPr>
        <w:t>）近年完成的类似项目情况表；</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w:t>
      </w:r>
      <w:r>
        <w:rPr>
          <w:rFonts w:asciiTheme="minorEastAsia" w:hAnsiTheme="minorEastAsia" w:cstheme="minorEastAsia"/>
          <w:szCs w:val="21"/>
        </w:rPr>
        <w:t>8</w:t>
      </w:r>
      <w:r>
        <w:rPr>
          <w:rFonts w:hint="eastAsia" w:asciiTheme="minorEastAsia" w:hAnsiTheme="minorEastAsia" w:cstheme="minorEastAsia"/>
          <w:szCs w:val="21"/>
        </w:rPr>
        <w:t>）投标设备技术性能指标的详细描述；</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w:t>
      </w:r>
      <w:r>
        <w:rPr>
          <w:rFonts w:asciiTheme="minorEastAsia" w:hAnsiTheme="minorEastAsia" w:cstheme="minorEastAsia"/>
          <w:szCs w:val="21"/>
        </w:rPr>
        <w:t>9</w:t>
      </w:r>
      <w:r>
        <w:rPr>
          <w:rFonts w:hint="eastAsia" w:asciiTheme="minorEastAsia" w:hAnsiTheme="minorEastAsia" w:cstheme="minorEastAsia"/>
          <w:szCs w:val="21"/>
        </w:rPr>
        <w:t>）技术支持资料；</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w:t>
      </w:r>
      <w:r>
        <w:rPr>
          <w:rFonts w:asciiTheme="minorEastAsia" w:hAnsiTheme="minorEastAsia" w:cstheme="minorEastAsia"/>
          <w:szCs w:val="21"/>
        </w:rPr>
        <w:t>0</w:t>
      </w:r>
      <w:r>
        <w:rPr>
          <w:rFonts w:hint="eastAsia" w:asciiTheme="minorEastAsia" w:hAnsiTheme="minorEastAsia" w:cstheme="minorEastAsia"/>
          <w:szCs w:val="21"/>
        </w:rPr>
        <w:t>）技术服务和质保期服务计划；</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w:t>
      </w:r>
      <w:r>
        <w:rPr>
          <w:rFonts w:asciiTheme="minorEastAsia" w:hAnsiTheme="minorEastAsia" w:cstheme="minorEastAsia"/>
          <w:szCs w:val="21"/>
        </w:rPr>
        <w:t>1</w:t>
      </w:r>
      <w:r>
        <w:rPr>
          <w:rFonts w:hint="eastAsia" w:asciiTheme="minorEastAsia" w:hAnsiTheme="minorEastAsia" w:cstheme="minorEastAsia"/>
          <w:szCs w:val="21"/>
        </w:rPr>
        <w:t>）其他资料。</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投标文件的上述组成部分如存在内容不一致的，以投标函为准。</w:t>
      </w:r>
    </w:p>
    <w:p>
      <w:pPr>
        <w:snapToGrid w:val="0"/>
        <w:spacing w:line="360" w:lineRule="auto"/>
        <w:rPr>
          <w:rFonts w:asciiTheme="minorEastAsia" w:hAnsiTheme="minorEastAsia" w:cstheme="minorEastAsia"/>
        </w:rPr>
      </w:pPr>
      <w:r>
        <w:rPr>
          <w:rFonts w:hint="eastAsia" w:asciiTheme="minorEastAsia" w:hAnsiTheme="minorEastAsia" w:cstheme="minorEastAsia"/>
          <w:szCs w:val="21"/>
        </w:rPr>
        <w:t>3．我方承</w:t>
      </w:r>
      <w:r>
        <w:rPr>
          <w:rFonts w:hint="eastAsia" w:asciiTheme="minorEastAsia" w:hAnsiTheme="minorEastAsia" w:cstheme="minorEastAsia"/>
        </w:rPr>
        <w:t>诺除商务和技术偏差表列出的偏差外，我方响应招标文件的全部要求。</w:t>
      </w:r>
    </w:p>
    <w:p>
      <w:pPr>
        <w:snapToGrid w:val="0"/>
        <w:spacing w:line="360" w:lineRule="auto"/>
        <w:rPr>
          <w:rFonts w:asciiTheme="minorEastAsia" w:hAnsiTheme="minorEastAsia" w:cstheme="minorEastAsia"/>
        </w:rPr>
      </w:pPr>
      <w:r>
        <w:rPr>
          <w:rFonts w:hint="eastAsia" w:asciiTheme="minorEastAsia" w:hAnsiTheme="minorEastAsia" w:cstheme="minorEastAsia"/>
        </w:rPr>
        <w:t>4．我方承诺在招标文件规定的投标有效期内不撤销投标文件。</w:t>
      </w:r>
    </w:p>
    <w:p>
      <w:pPr>
        <w:snapToGrid w:val="0"/>
        <w:spacing w:line="360" w:lineRule="auto"/>
        <w:rPr>
          <w:rFonts w:asciiTheme="minorEastAsia" w:hAnsiTheme="minorEastAsia" w:cstheme="minorEastAsia"/>
        </w:rPr>
      </w:pPr>
      <w:r>
        <w:rPr>
          <w:rFonts w:hint="eastAsia" w:asciiTheme="minorEastAsia" w:hAnsiTheme="minorEastAsia" w:cstheme="minorEastAsia"/>
        </w:rPr>
        <w:t>5．如我方中标，我方承诺：</w:t>
      </w:r>
    </w:p>
    <w:p>
      <w:pPr>
        <w:snapToGrid w:val="0"/>
        <w:spacing w:line="360" w:lineRule="auto"/>
        <w:rPr>
          <w:rFonts w:asciiTheme="minorEastAsia" w:hAnsiTheme="minorEastAsia" w:cstheme="minorEastAsia"/>
        </w:rPr>
      </w:pPr>
      <w:r>
        <w:rPr>
          <w:rFonts w:hint="eastAsia" w:asciiTheme="minorEastAsia" w:hAnsiTheme="minorEastAsia" w:cstheme="minorEastAsia"/>
        </w:rPr>
        <w:t>（1）在收到中标通知书后，在中标通知书规定的期限内与你方签订合同；</w:t>
      </w:r>
    </w:p>
    <w:p>
      <w:pPr>
        <w:snapToGrid w:val="0"/>
        <w:spacing w:line="360" w:lineRule="auto"/>
        <w:rPr>
          <w:rFonts w:asciiTheme="minorEastAsia" w:hAnsiTheme="minorEastAsia" w:cstheme="minorEastAsia"/>
        </w:rPr>
      </w:pPr>
      <w:r>
        <w:rPr>
          <w:rFonts w:hint="eastAsia" w:asciiTheme="minorEastAsia" w:hAnsiTheme="minorEastAsia" w:cstheme="minorEastAsia"/>
        </w:rPr>
        <w:t>（2）在签订合同时不向你方提出附加条件；</w:t>
      </w:r>
    </w:p>
    <w:p>
      <w:pPr>
        <w:snapToGrid w:val="0"/>
        <w:spacing w:line="360" w:lineRule="auto"/>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3</w:t>
      </w:r>
      <w:r>
        <w:rPr>
          <w:rFonts w:hint="eastAsia" w:asciiTheme="minorEastAsia" w:hAnsiTheme="minorEastAsia" w:cstheme="minorEastAsia"/>
        </w:rPr>
        <w:t>）在合同约定的期限内完成合同规定的全部义务。</w:t>
      </w:r>
    </w:p>
    <w:p>
      <w:pPr>
        <w:snapToGrid w:val="0"/>
        <w:spacing w:line="360" w:lineRule="auto"/>
        <w:rPr>
          <w:rFonts w:asciiTheme="minorEastAsia" w:hAnsiTheme="minorEastAsia" w:cstheme="minorEastAsia"/>
        </w:rPr>
      </w:pPr>
      <w:r>
        <w:rPr>
          <w:rFonts w:hint="eastAsia" w:asciiTheme="minorEastAsia" w:hAnsiTheme="minorEastAsia" w:cstheme="minorEastAsia"/>
        </w:rPr>
        <w:t>6．我方在此声明，所递交的投标文件及有关资料内容完整、真实和准确，且不存在第二章 “投标人须知”第1.4.3项规定的任何一种情形。</w:t>
      </w:r>
    </w:p>
    <w:p>
      <w:pPr>
        <w:snapToGrid w:val="0"/>
        <w:spacing w:line="360" w:lineRule="auto"/>
        <w:ind w:firstLine="0" w:firstLineChars="0"/>
        <w:rPr>
          <w:rFonts w:asciiTheme="minorEastAsia" w:hAnsiTheme="minorEastAsia" w:cstheme="minorEastAsia"/>
        </w:rPr>
      </w:pPr>
      <w:r>
        <w:rPr>
          <w:rFonts w:asciiTheme="minorEastAsia" w:hAnsiTheme="minorEastAsia" w:cstheme="minorEastAsia"/>
        </w:rPr>
        <w:t>7.</w:t>
      </w:r>
      <w:r>
        <w:rPr>
          <w:rFonts w:hint="eastAsia" w:asciiTheme="minorEastAsia" w:hAnsiTheme="minorEastAsia" w:cstheme="minorEastAsia"/>
        </w:rPr>
        <w:t xml:space="preserve"> </w:t>
      </w:r>
      <w:r>
        <w:rPr>
          <w:rFonts w:hint="eastAsia" w:asciiTheme="minorEastAsia" w:hAnsiTheme="minorEastAsia" w:cstheme="minorEastAsia"/>
          <w:u w:val="single"/>
        </w:rPr>
        <w:t xml:space="preserve">         </w:t>
      </w:r>
      <w:r>
        <w:rPr>
          <w:rFonts w:hint="eastAsia" w:asciiTheme="minorEastAsia" w:hAnsiTheme="minorEastAsia" w:cstheme="minorEastAsia"/>
        </w:rPr>
        <w:t>其他补充说明）。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（盖单位章）</w:t>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法定代表人（单位负责人）或其委托代理人：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地</w:t>
      </w:r>
      <w:r>
        <w:rPr>
          <w:rFonts w:hint="eastAsia" w:asciiTheme="minorEastAsia" w:hAnsiTheme="minorEastAsia" w:cstheme="minorEastAsia"/>
        </w:rPr>
        <w:tab/>
      </w:r>
      <w:r>
        <w:rPr>
          <w:rFonts w:hint="eastAsia" w:asciiTheme="minorEastAsia" w:hAnsiTheme="minorEastAsia" w:cstheme="minorEastAsia"/>
        </w:rPr>
        <w:t xml:space="preserve">址：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网</w:t>
      </w:r>
      <w:r>
        <w:rPr>
          <w:rFonts w:hint="eastAsia" w:asciiTheme="minorEastAsia" w:hAnsiTheme="minorEastAsia" w:cstheme="minorEastAsia"/>
        </w:rPr>
        <w:tab/>
      </w:r>
      <w:r>
        <w:rPr>
          <w:rFonts w:hint="eastAsia" w:asciiTheme="minorEastAsia" w:hAnsiTheme="minorEastAsia" w:cstheme="minorEastAsia"/>
        </w:rPr>
        <w:t xml:space="preserve">址：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电</w:t>
      </w:r>
      <w:r>
        <w:rPr>
          <w:rFonts w:hint="eastAsia" w:asciiTheme="minorEastAsia" w:hAnsiTheme="minorEastAsia" w:cstheme="minorEastAsia"/>
        </w:rPr>
        <w:tab/>
      </w:r>
      <w:r>
        <w:rPr>
          <w:rFonts w:hint="eastAsia" w:asciiTheme="minorEastAsia" w:hAnsiTheme="minorEastAsia" w:cstheme="minorEastAsia"/>
        </w:rPr>
        <w:t xml:space="preserve">话：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传</w:t>
      </w:r>
      <w:r>
        <w:rPr>
          <w:rFonts w:hint="eastAsia" w:asciiTheme="minorEastAsia" w:hAnsiTheme="minorEastAsia" w:cstheme="minorEastAsia"/>
        </w:rPr>
        <w:tab/>
      </w:r>
      <w:r>
        <w:rPr>
          <w:rFonts w:hint="eastAsia" w:asciiTheme="minorEastAsia" w:hAnsiTheme="minorEastAsia" w:cstheme="minorEastAsia"/>
        </w:rPr>
        <w:t xml:space="preserve">真：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 xml:space="preserve">邮政编码： </w:t>
      </w:r>
      <w:r>
        <w:rPr>
          <w:rFonts w:hint="eastAsia" w:asciiTheme="minorEastAsia" w:hAnsiTheme="minorEastAsia" w:cstheme="minorEastAsia"/>
        </w:rPr>
        <w:tab/>
      </w:r>
    </w:p>
    <w:p>
      <w:pPr>
        <w:snapToGrid w:val="0"/>
        <w:spacing w:line="360" w:lineRule="auto"/>
        <w:ind w:firstLine="6510" w:firstLineChars="3100"/>
        <w:rPr>
          <w:rFonts w:asciiTheme="minorEastAsia" w:hAnsiTheme="minorEastAsia" w:cstheme="minorEastAsia"/>
        </w:rPr>
      </w:pPr>
      <w:r>
        <w:rPr>
          <w:rFonts w:hint="eastAsia" w:asciiTheme="minorEastAsia" w:hAnsiTheme="minorEastAsia" w:cstheme="minorEastAsia"/>
        </w:rPr>
        <w:t xml:space="preserve"> </w:t>
      </w: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 xml:space="preserve">日 </w:t>
      </w:r>
      <w:r>
        <w:rPr>
          <w:rFonts w:hint="eastAsia" w:asciiTheme="minorEastAsia" w:hAnsiTheme="minorEastAsia" w:cstheme="minorEastAsia"/>
        </w:rPr>
        <w:br w:type="page"/>
      </w:r>
    </w:p>
    <w:p>
      <w:pPr>
        <w:pStyle w:val="6"/>
        <w:snapToGrid w:val="0"/>
        <w:spacing w:before="0" w:after="0" w:line="360" w:lineRule="auto"/>
        <w:jc w:val="center"/>
        <w:rPr>
          <w:rFonts w:cstheme="minorEastAsia"/>
        </w:rPr>
      </w:pPr>
      <w:bookmarkStart w:id="109" w:name="_Toc43907181"/>
      <w:r>
        <w:rPr>
          <w:rFonts w:hint="eastAsia" w:cstheme="minorEastAsia"/>
        </w:rPr>
        <w:t>二、法定代表人（单位负责人）身份证明</w:t>
      </w:r>
      <w:bookmarkEnd w:id="109"/>
    </w:p>
    <w:p>
      <w:pPr>
        <w:snapToGrid w:val="0"/>
        <w:spacing w:line="360" w:lineRule="auto"/>
        <w:rPr>
          <w:rFonts w:asciiTheme="minorEastAsia" w:hAnsiTheme="minorEastAsia" w:cstheme="minorEastAsia"/>
          <w:u w:val="single"/>
        </w:rPr>
      </w:pPr>
      <w:r>
        <w:rPr>
          <w:rFonts w:hint="eastAsia" w:asciiTheme="minorEastAsia" w:hAnsiTheme="minorEastAsia" w:cstheme="minorEastAsia"/>
        </w:rPr>
        <w:t>投标人名称：</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姓名：</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性别：</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年龄：</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职务：</w:t>
      </w:r>
      <w:r>
        <w:rPr>
          <w:rFonts w:hint="eastAsia" w:asciiTheme="minorEastAsia" w:hAnsiTheme="minorEastAsia" w:cstheme="minorEastAsia"/>
          <w:u w:val="single"/>
        </w:rPr>
        <w:t xml:space="preserve">     </w:t>
      </w:r>
      <w:r>
        <w:rPr>
          <w:rFonts w:hint="eastAsia" w:asciiTheme="minorEastAsia" w:hAnsiTheme="minorEastAsia" w:cstheme="minorEastAsia"/>
        </w:rPr>
        <w:t xml:space="preserve"> </w:t>
      </w:r>
      <w:r>
        <w:rPr>
          <w:rFonts w:hint="eastAsia" w:asciiTheme="minorEastAsia" w:hAnsiTheme="minorEastAsia" w:cstheme="minorEastAsia"/>
        </w:rPr>
        <w:tab/>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系</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（投标人名称）的法定代表人（单位负责人）。</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特此证明。</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附：法定代表人（单位负责人）身份证原件复印件或扫描件。</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注：本身份证明需由投标人加盖单位公章。</w:t>
      </w:r>
    </w:p>
    <w:p>
      <w:pPr>
        <w:snapToGrid w:val="0"/>
        <w:spacing w:line="360" w:lineRule="auto"/>
        <w:rPr>
          <w:rFonts w:asciiTheme="minorEastAsia" w:hAnsiTheme="minorEastAsia" w:cstheme="minorEastAsia"/>
        </w:rPr>
      </w:pPr>
    </w:p>
    <w:p>
      <w:pPr>
        <w:snapToGrid w:val="0"/>
        <w:spacing w:line="360" w:lineRule="auto"/>
        <w:ind w:firstLine="4830" w:firstLineChars="2300"/>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（单位公章）</w:t>
      </w:r>
    </w:p>
    <w:p>
      <w:pPr>
        <w:snapToGrid w:val="0"/>
        <w:spacing w:line="360" w:lineRule="auto"/>
        <w:rPr>
          <w:rFonts w:asciiTheme="minorEastAsia" w:hAnsiTheme="minorEastAsia" w:cstheme="minorEastAsia"/>
        </w:rPr>
      </w:pPr>
    </w:p>
    <w:p>
      <w:pPr>
        <w:snapToGrid w:val="0"/>
        <w:spacing w:line="360" w:lineRule="auto"/>
        <w:ind w:firstLine="5670" w:firstLineChars="2700"/>
        <w:rPr>
          <w:rFonts w:asciiTheme="minorEastAsia" w:hAnsiTheme="minorEastAsia" w:cstheme="minorEastAsia"/>
        </w:rPr>
      </w:pPr>
      <w:r>
        <w:rPr>
          <w:rFonts w:hint="eastAsia" w:asciiTheme="minorEastAsia" w:hAnsiTheme="minorEastAsia" w:cstheme="minorEastAsia"/>
        </w:rPr>
        <w:t xml:space="preserve"> </w:t>
      </w: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日</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keepNext/>
        <w:keepLines/>
        <w:snapToGrid w:val="0"/>
        <w:spacing w:line="360" w:lineRule="auto"/>
        <w:jc w:val="center"/>
        <w:rPr>
          <w:rFonts w:cstheme="minorEastAsia"/>
        </w:rPr>
      </w:pPr>
      <w:r>
        <w:rPr>
          <w:rFonts w:hint="eastAsia" w:cstheme="minorEastAsia"/>
        </w:rPr>
        <w:br w:type="page"/>
      </w:r>
    </w:p>
    <w:p>
      <w:pPr>
        <w:pStyle w:val="6"/>
        <w:snapToGrid w:val="0"/>
        <w:spacing w:before="0" w:after="0" w:line="360" w:lineRule="auto"/>
        <w:jc w:val="center"/>
        <w:rPr>
          <w:rFonts w:cstheme="minorEastAsia"/>
        </w:rPr>
      </w:pPr>
      <w:bookmarkStart w:id="110" w:name="_Toc43907182"/>
      <w:r>
        <w:rPr>
          <w:rFonts w:hint="eastAsia" w:cstheme="minorEastAsia"/>
        </w:rPr>
        <w:t>三、授权委托书</w:t>
      </w:r>
      <w:bookmarkEnd w:id="110"/>
    </w:p>
    <w:p>
      <w:pPr>
        <w:snapToGrid w:val="0"/>
        <w:spacing w:line="360" w:lineRule="auto"/>
        <w:rPr>
          <w:rFonts w:asciiTheme="minorEastAsia" w:hAnsiTheme="minorEastAsia" w:cstheme="minorEastAsia"/>
        </w:rPr>
      </w:pPr>
      <w:r>
        <w:rPr>
          <w:rFonts w:hint="eastAsia" w:asciiTheme="minorEastAsia" w:hAnsiTheme="minorEastAsia" w:cstheme="minorEastAsia"/>
        </w:rPr>
        <w:t>本人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（姓名）系</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（投标人名称）的法定代表人（单位负责人），现委托</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（姓名）为我方代理人。代理人根据授权，以我方名义签署、澄清确认、递交、撤回、修改设备采购招标项目投标文件、签订合同和处理有关事宜，其法律 后果由我方承担。</w:t>
      </w:r>
    </w:p>
    <w:p>
      <w:pPr>
        <w:snapToGrid w:val="0"/>
        <w:spacing w:line="360" w:lineRule="auto"/>
        <w:rPr>
          <w:rFonts w:asciiTheme="minorEastAsia" w:hAnsiTheme="minorEastAsia" w:cstheme="minorEastAsia"/>
        </w:rPr>
      </w:pPr>
      <w:r>
        <w:rPr>
          <w:rFonts w:hint="eastAsia" w:asciiTheme="minorEastAsia" w:hAnsiTheme="minorEastAsia" w:cstheme="minorEastAsia"/>
        </w:rPr>
        <w:t>委托期限：</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w:t>
      </w:r>
    </w:p>
    <w:p>
      <w:pPr>
        <w:snapToGrid w:val="0"/>
        <w:spacing w:line="360" w:lineRule="auto"/>
        <w:rPr>
          <w:rFonts w:asciiTheme="minorEastAsia" w:hAnsiTheme="minorEastAsia" w:cstheme="minorEastAsia"/>
        </w:rPr>
      </w:pPr>
      <w:r>
        <w:rPr>
          <w:rFonts w:hint="eastAsia" w:asciiTheme="minorEastAsia" w:hAnsiTheme="minorEastAsia" w:cstheme="minorEastAsia"/>
        </w:rPr>
        <w:t>代理人无转委托权。</w:t>
      </w:r>
    </w:p>
    <w:p>
      <w:pPr>
        <w:snapToGrid w:val="0"/>
        <w:spacing w:line="360" w:lineRule="auto"/>
        <w:rPr>
          <w:rFonts w:asciiTheme="minorEastAsia" w:hAnsiTheme="minorEastAsia" w:cstheme="minorEastAsia"/>
        </w:rPr>
      </w:pPr>
      <w:r>
        <w:rPr>
          <w:rFonts w:hint="eastAsia" w:asciiTheme="minorEastAsia" w:hAnsiTheme="minorEastAsia" w:cstheme="minorEastAsia"/>
        </w:rPr>
        <w:t>附：法定代表人（单位负责人）身份证原件复印件或扫描件及委托代理人身份证原件复印件或扫描件</w:t>
      </w:r>
    </w:p>
    <w:tbl>
      <w:tblPr>
        <w:tblStyle w:val="27"/>
        <w:tblW w:w="6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3144" w:type="dxa"/>
            <w:vAlign w:val="center"/>
          </w:tcPr>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法定代表人（单位负责人）</w:t>
            </w:r>
          </w:p>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身份证</w:t>
            </w:r>
            <w:r>
              <w:rPr>
                <w:rFonts w:hint="eastAsia" w:asciiTheme="minorEastAsia" w:hAnsiTheme="minorEastAsia" w:eastAsiaTheme="minorEastAsia" w:cstheme="minorEastAsia"/>
                <w:sz w:val="21"/>
                <w:szCs w:val="21"/>
                <w:lang w:eastAsia="zh-CN"/>
              </w:rPr>
              <w:t>正面</w:t>
            </w:r>
          </w:p>
        </w:tc>
        <w:tc>
          <w:tcPr>
            <w:tcW w:w="3005" w:type="dxa"/>
            <w:vAlign w:val="center"/>
          </w:tcPr>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法定代表人（单位负责人）</w:t>
            </w:r>
          </w:p>
          <w:p>
            <w:pPr>
              <w:pStyle w:val="31"/>
              <w:snapToGrid w:val="0"/>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身份证</w:t>
            </w:r>
            <w:r>
              <w:rPr>
                <w:rFonts w:hint="eastAsia" w:asciiTheme="minorEastAsia" w:hAnsiTheme="minorEastAsia" w:eastAsiaTheme="minorEastAsia" w:cstheme="minorEastAsia"/>
                <w:sz w:val="21"/>
                <w:szCs w:val="21"/>
                <w:lang w:eastAsia="zh-CN"/>
              </w:rPr>
              <w:t>反面</w:t>
            </w:r>
          </w:p>
        </w:tc>
      </w:tr>
    </w:tbl>
    <w:p>
      <w:pPr>
        <w:pStyle w:val="31"/>
        <w:snapToGrid w:val="0"/>
        <w:spacing w:line="360" w:lineRule="auto"/>
        <w:rPr>
          <w:rFonts w:asciiTheme="minorEastAsia" w:hAnsiTheme="minorEastAsia" w:eastAsiaTheme="minorEastAsia" w:cstheme="minorEastAsia"/>
        </w:rPr>
      </w:pPr>
    </w:p>
    <w:tbl>
      <w:tblPr>
        <w:tblStyle w:val="27"/>
        <w:tblW w:w="6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3144" w:type="dxa"/>
            <w:vAlign w:val="center"/>
          </w:tcPr>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委托代理人</w:t>
            </w:r>
          </w:p>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身份证正面</w:t>
            </w:r>
          </w:p>
        </w:tc>
        <w:tc>
          <w:tcPr>
            <w:tcW w:w="3005" w:type="dxa"/>
            <w:vAlign w:val="center"/>
          </w:tcPr>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委托代理人</w:t>
            </w:r>
          </w:p>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身份证反面</w:t>
            </w:r>
          </w:p>
        </w:tc>
      </w:tr>
    </w:tbl>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注：本授权委托书需由投标人加盖单位公章并由其法定代表人（单位负责人）和委托代理人签字。</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（单位公章）</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法定代表人（单位负责人）：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委托代理人：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日</w:t>
      </w:r>
    </w:p>
    <w:p>
      <w:pPr>
        <w:pStyle w:val="6"/>
        <w:snapToGrid w:val="0"/>
        <w:spacing w:before="0" w:after="0" w:line="360" w:lineRule="auto"/>
        <w:jc w:val="center"/>
        <w:rPr>
          <w:rFonts w:cstheme="minorEastAsia"/>
        </w:rPr>
      </w:pPr>
      <w:r>
        <w:rPr>
          <w:rFonts w:hint="eastAsia" w:cstheme="minorEastAsia"/>
        </w:rPr>
        <w:t>四、商务和技术偏差表</w:t>
      </w:r>
    </w:p>
    <w:tbl>
      <w:tblPr>
        <w:tblStyle w:val="27"/>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10"/>
        <w:gridCol w:w="2410"/>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序号</w:t>
            </w:r>
          </w:p>
        </w:tc>
        <w:tc>
          <w:tcPr>
            <w:tcW w:w="2410"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招标文件章节及条款号</w:t>
            </w:r>
          </w:p>
        </w:tc>
        <w:tc>
          <w:tcPr>
            <w:tcW w:w="2410"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投标文件章节及条款号</w:t>
            </w:r>
          </w:p>
        </w:tc>
        <w:tc>
          <w:tcPr>
            <w:tcW w:w="2891"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1</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2</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3</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4</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5</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bl>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投标人保证：除商务和技术偏差表列出的偏差外，投标人响应招标文件的全部要求。</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keepNext/>
        <w:keepLines/>
        <w:snapToGrid w:val="0"/>
        <w:spacing w:line="360" w:lineRule="auto"/>
        <w:jc w:val="center"/>
        <w:rPr>
          <w:rFonts w:cstheme="minorEastAsia"/>
        </w:rPr>
      </w:pPr>
      <w:r>
        <w:rPr>
          <w:rFonts w:hint="eastAsia" w:cstheme="minorEastAsia"/>
        </w:rPr>
        <w:br w:type="page"/>
      </w:r>
    </w:p>
    <w:p>
      <w:pPr>
        <w:pStyle w:val="6"/>
        <w:snapToGrid w:val="0"/>
        <w:spacing w:before="0" w:after="0" w:line="360" w:lineRule="auto"/>
        <w:jc w:val="center"/>
        <w:rPr>
          <w:rFonts w:cstheme="minorEastAsia"/>
        </w:rPr>
      </w:pPr>
      <w:bookmarkStart w:id="111" w:name="_Toc43907183"/>
      <w:r>
        <w:rPr>
          <w:rFonts w:cstheme="minorEastAsia"/>
        </w:rPr>
        <w:t>五</w:t>
      </w:r>
      <w:r>
        <w:rPr>
          <w:rFonts w:hint="eastAsia" w:cstheme="minorEastAsia"/>
        </w:rPr>
        <w:t>、报价表</w:t>
      </w:r>
      <w:bookmarkEnd w:id="111"/>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u w:val="single"/>
        </w:rPr>
      </w:pPr>
    </w:p>
    <w:p>
      <w:pPr>
        <w:snapToGrid w:val="0"/>
        <w:spacing w:line="360" w:lineRule="auto"/>
        <w:rPr>
          <w:rFonts w:asciiTheme="minorEastAsia" w:hAnsiTheme="minorEastAsia" w:cstheme="minorEastAsia"/>
          <w:u w:val="single"/>
        </w:rPr>
      </w:pP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6"/>
        <w:snapToGrid w:val="0"/>
        <w:spacing w:before="0" w:after="0" w:line="360" w:lineRule="auto"/>
        <w:jc w:val="center"/>
        <w:rPr>
          <w:rFonts w:cstheme="minorEastAsia"/>
        </w:rPr>
      </w:pPr>
      <w:bookmarkStart w:id="112" w:name="_Toc43907184"/>
      <w:r>
        <w:rPr>
          <w:rFonts w:cstheme="minorEastAsia"/>
        </w:rPr>
        <w:t>六</w:t>
      </w:r>
      <w:r>
        <w:rPr>
          <w:rFonts w:hint="eastAsia" w:cstheme="minorEastAsia"/>
        </w:rPr>
        <w:t>、资格审查资料</w:t>
      </w:r>
      <w:bookmarkEnd w:id="112"/>
    </w:p>
    <w:p>
      <w:pPr>
        <w:pStyle w:val="7"/>
        <w:snapToGrid w:val="0"/>
        <w:spacing w:before="0" w:after="0" w:line="360" w:lineRule="auto"/>
        <w:rPr>
          <w:rFonts w:cstheme="minorEastAsia"/>
        </w:rPr>
      </w:pPr>
      <w:bookmarkStart w:id="113" w:name="_Toc43907185"/>
      <w:bookmarkStart w:id="114" w:name="_Toc506205344"/>
      <w:bookmarkStart w:id="115" w:name="_Toc503983072"/>
      <w:bookmarkStart w:id="116" w:name="_Toc2405"/>
      <w:r>
        <w:rPr>
          <w:rFonts w:hint="eastAsia" w:cstheme="minorEastAsia"/>
        </w:rPr>
        <w:t>（一）基本情况表</w:t>
      </w:r>
      <w:bookmarkEnd w:id="113"/>
    </w:p>
    <w:tbl>
      <w:tblPr>
        <w:tblStyle w:val="2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6"/>
        <w:gridCol w:w="1179"/>
        <w:gridCol w:w="1341"/>
        <w:gridCol w:w="1706"/>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投标人名称</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注册资金</w:t>
            </w:r>
          </w:p>
        </w:tc>
        <w:tc>
          <w:tcPr>
            <w:tcW w:w="2520" w:type="dxa"/>
            <w:gridSpan w:val="2"/>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成立时间</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注册地址</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邮政编码</w:t>
            </w:r>
          </w:p>
        </w:tc>
        <w:tc>
          <w:tcPr>
            <w:tcW w:w="2520" w:type="dxa"/>
            <w:gridSpan w:val="2"/>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员工总数</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Merge w:val="restart"/>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联系方式</w:t>
            </w:r>
          </w:p>
        </w:tc>
        <w:tc>
          <w:tcPr>
            <w:tcW w:w="1179"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联系人</w:t>
            </w:r>
          </w:p>
        </w:tc>
        <w:tc>
          <w:tcPr>
            <w:tcW w:w="1341" w:type="dxa"/>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电话</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Merge w:val="continue"/>
            <w:vAlign w:val="center"/>
          </w:tcPr>
          <w:p>
            <w:pPr>
              <w:spacing w:line="312" w:lineRule="auto"/>
              <w:ind w:firstLine="0" w:firstLineChars="0"/>
              <w:jc w:val="center"/>
              <w:rPr>
                <w:rFonts w:asciiTheme="minorEastAsia" w:hAnsiTheme="minorEastAsia" w:cstheme="minorEastAsia"/>
              </w:rPr>
            </w:pPr>
          </w:p>
        </w:tc>
        <w:tc>
          <w:tcPr>
            <w:tcW w:w="1179"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网址</w:t>
            </w:r>
          </w:p>
        </w:tc>
        <w:tc>
          <w:tcPr>
            <w:tcW w:w="1341" w:type="dxa"/>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传真</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法定代表人</w:t>
            </w:r>
          </w:p>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（单位负责人）</w:t>
            </w:r>
          </w:p>
        </w:tc>
        <w:tc>
          <w:tcPr>
            <w:tcW w:w="1179"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姓名</w:t>
            </w:r>
          </w:p>
        </w:tc>
        <w:tc>
          <w:tcPr>
            <w:tcW w:w="1341" w:type="dxa"/>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电话</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投标人须知要求投标人需具有的各类资质证书</w:t>
            </w:r>
          </w:p>
        </w:tc>
        <w:tc>
          <w:tcPr>
            <w:tcW w:w="5932" w:type="dxa"/>
            <w:gridSpan w:val="4"/>
            <w:vAlign w:val="center"/>
          </w:tcPr>
          <w:p>
            <w:pPr>
              <w:spacing w:line="312" w:lineRule="auto"/>
              <w:ind w:firstLine="0" w:firstLineChars="0"/>
              <w:rPr>
                <w:rFonts w:asciiTheme="minorEastAsia" w:hAnsiTheme="minorEastAsia" w:cstheme="minorEastAsia"/>
              </w:rPr>
            </w:pPr>
            <w:r>
              <w:rPr>
                <w:rFonts w:hint="eastAsia" w:asciiTheme="minorEastAsia" w:hAnsiTheme="minorEastAsia" w:cstheme="minorEastAsia"/>
              </w:rPr>
              <w:t>类型：</w:t>
            </w:r>
            <w:r>
              <w:rPr>
                <w:rFonts w:hint="eastAsia" w:asciiTheme="minorEastAsia" w:hAnsiTheme="minorEastAsia" w:cstheme="minorEastAsia"/>
              </w:rPr>
              <w:tab/>
            </w:r>
            <w:r>
              <w:rPr>
                <w:rFonts w:hint="eastAsia" w:asciiTheme="minorEastAsia" w:hAnsiTheme="minorEastAsia" w:cstheme="minorEastAsia"/>
              </w:rPr>
              <w:t>等级：</w:t>
            </w:r>
            <w:r>
              <w:rPr>
                <w:rFonts w:hint="eastAsia" w:asciiTheme="minorEastAsia" w:hAnsiTheme="minorEastAsia" w:cstheme="minorEastAsia"/>
              </w:rPr>
              <w:tab/>
            </w:r>
            <w:r>
              <w:rPr>
                <w:rFonts w:hint="eastAsia" w:asciiTheme="minorEastAsia" w:hAnsiTheme="minorEastAsia" w:cstheme="minorEastAsia"/>
              </w:rPr>
              <w:t>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基本账户开户银行</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基本账户银行账号</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近三年营业额</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投标人关联企业情况（包括但不限于与投标人法定代表人（单位负责人）为同一人或者存在控股、管理关系的不同单位）</w:t>
            </w:r>
          </w:p>
        </w:tc>
        <w:tc>
          <w:tcPr>
            <w:tcW w:w="5932" w:type="dxa"/>
            <w:gridSpan w:val="4"/>
            <w:vAlign w:val="center"/>
          </w:tcPr>
          <w:p>
            <w:pPr>
              <w:wordWrap w:val="0"/>
              <w:topLinePunct/>
              <w:snapToGrid w:val="0"/>
              <w:spacing w:line="312" w:lineRule="auto"/>
              <w:jc w:val="left"/>
              <w:textAlignment w:val="top"/>
              <w:rPr>
                <w:rFonts w:asciiTheme="minorEastAsia" w:hAnsiTheme="minorEastAsia" w:cstheme="minorEastAsia"/>
                <w:kern w:val="0"/>
                <w:szCs w:val="21"/>
              </w:rPr>
            </w:pPr>
            <w:r>
              <w:rPr>
                <w:rFonts w:hint="eastAsia" w:asciiTheme="minorEastAsia" w:hAnsiTheme="minorEastAsia" w:cstheme="minorEastAsia"/>
                <w:kern w:val="0"/>
                <w:szCs w:val="21"/>
              </w:rPr>
              <w:t>投标人应提供关联企业情况，包括：</w:t>
            </w:r>
          </w:p>
          <w:p>
            <w:pPr>
              <w:shd w:val="clear" w:color="auto" w:fill="FFFFFF"/>
              <w:wordWrap w:val="0"/>
              <w:topLinePunct/>
              <w:snapToGrid w:val="0"/>
              <w:spacing w:line="312" w:lineRule="auto"/>
              <w:jc w:val="left"/>
              <w:textAlignment w:val="top"/>
              <w:rPr>
                <w:rFonts w:asciiTheme="minorEastAsia" w:hAnsiTheme="minorEastAsia" w:cstheme="minorEastAsia"/>
                <w:kern w:val="0"/>
                <w:szCs w:val="21"/>
                <w:shd w:val="clear" w:color="auto" w:fill="FFFFFF"/>
              </w:rPr>
            </w:pPr>
            <w:r>
              <w:rPr>
                <w:rFonts w:hint="eastAsia" w:asciiTheme="minorEastAsia" w:hAnsiTheme="minorEastAsia" w:cstheme="minorEastAsia"/>
                <w:kern w:val="0"/>
                <w:szCs w:val="21"/>
                <w:shd w:val="clear" w:color="auto" w:fill="FFFFFF"/>
              </w:rPr>
              <w:t>（1）投标人的所有股东名称及相应股权（出资额）比例；如投标人为上市公司，投标人应提供股权占公司股份总数</w:t>
            </w:r>
            <w:r>
              <w:rPr>
                <w:rFonts w:hint="eastAsia" w:asciiTheme="minorEastAsia" w:hAnsiTheme="minorEastAsia" w:cstheme="minorEastAsia"/>
                <w:kern w:val="0"/>
                <w:szCs w:val="21"/>
                <w:u w:val="single"/>
                <w:shd w:val="clear" w:color="auto" w:fill="FFFFFF"/>
              </w:rPr>
              <w:t>10</w:t>
            </w:r>
            <w:r>
              <w:rPr>
                <w:rFonts w:hint="eastAsia" w:asciiTheme="minorEastAsia" w:hAnsiTheme="minorEastAsia" w:cstheme="minorEastAsia"/>
                <w:kern w:val="0"/>
                <w:szCs w:val="21"/>
                <w:shd w:val="clear" w:color="auto" w:fill="FFFFFF"/>
              </w:rPr>
              <w:t xml:space="preserve">%以上的所有股东名称及相应股权比例； </w:t>
            </w:r>
          </w:p>
          <w:p>
            <w:pPr>
              <w:shd w:val="clear" w:color="auto" w:fill="FFFFFF"/>
              <w:wordWrap w:val="0"/>
              <w:topLinePunct/>
              <w:snapToGrid w:val="0"/>
              <w:spacing w:line="312" w:lineRule="auto"/>
              <w:jc w:val="left"/>
              <w:textAlignment w:val="top"/>
              <w:rPr>
                <w:rFonts w:asciiTheme="minorEastAsia" w:hAnsiTheme="minorEastAsia" w:cstheme="minorEastAsia"/>
                <w:kern w:val="0"/>
                <w:szCs w:val="21"/>
              </w:rPr>
            </w:pPr>
            <w:r>
              <w:rPr>
                <w:rFonts w:hint="eastAsia" w:asciiTheme="minorEastAsia" w:hAnsiTheme="minorEastAsia" w:cstheme="minorEastAsia"/>
                <w:kern w:val="0"/>
                <w:szCs w:val="21"/>
                <w:shd w:val="clear" w:color="auto" w:fill="FFFFFF"/>
              </w:rPr>
              <w:t>（2）投标人投资（控股）或管理的下属企业名称、持有股权（出资额）比例；</w:t>
            </w:r>
          </w:p>
          <w:p>
            <w:pPr>
              <w:spacing w:line="312" w:lineRule="auto"/>
              <w:ind w:firstLine="0" w:firstLineChars="0"/>
              <w:jc w:val="left"/>
              <w:rPr>
                <w:rFonts w:asciiTheme="minorEastAsia" w:hAnsiTheme="minorEastAsia" w:cstheme="minorEastAsia"/>
              </w:rPr>
            </w:pPr>
            <w:r>
              <w:rPr>
                <w:rFonts w:hint="eastAsia" w:asciiTheme="minorEastAsia" w:hAnsiTheme="minorEastAsia" w:cstheme="minorEastAsia"/>
                <w:kern w:val="0"/>
                <w:szCs w:val="21"/>
                <w:shd w:val="clear" w:color="auto" w:fill="FFFFFF"/>
              </w:rPr>
              <w:t>（3）与投标人单位负责人（即法定代表人）为同一人的其他单位名称。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投标产品制造商名称</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投标人须知要求投标产品制造商需具有的资质证书</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备注</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bl>
    <w:p>
      <w:pPr>
        <w:snapToGrid w:val="0"/>
        <w:spacing w:line="360" w:lineRule="auto"/>
        <w:rPr>
          <w:rFonts w:asciiTheme="minorEastAsia" w:hAnsiTheme="minorEastAsia" w:cstheme="minorEastAsia"/>
        </w:rPr>
      </w:pPr>
      <w:r>
        <w:rPr>
          <w:rFonts w:hint="eastAsia" w:asciiTheme="minorEastAsia" w:hAnsiTheme="minorEastAsia" w:cstheme="minorEastAsia"/>
        </w:rPr>
        <w:t>注：1.投标人应根据投标人须知第3.5.1项的要求在本表后附相关证明材料。</w:t>
      </w:r>
    </w:p>
    <w:p>
      <w:pPr>
        <w:snapToGrid w:val="0"/>
        <w:spacing w:line="360" w:lineRule="auto"/>
        <w:rPr>
          <w:rFonts w:asciiTheme="minorEastAsia" w:hAnsiTheme="minorEastAsia" w:cstheme="minorEastAsia"/>
        </w:rPr>
      </w:pPr>
      <w:r>
        <w:rPr>
          <w:rFonts w:hint="eastAsia" w:asciiTheme="minorEastAsia" w:hAnsiTheme="minorEastAsia" w:cstheme="minorEastAsia"/>
        </w:rPr>
        <w:t>2.如果投标人须知第1.4.1项对投标产品制造商的资质提出了要求，投标人应根据投标人须知第3.5.1项的要求在本表后附相关资质证书复印件。</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snapToGrid w:val="0"/>
        <w:spacing w:line="360" w:lineRule="auto"/>
        <w:rPr>
          <w:rFonts w:asciiTheme="minorEastAsia" w:hAnsiTheme="minorEastAsia" w:cstheme="minorEastAsia"/>
        </w:rPr>
      </w:pPr>
    </w:p>
    <w:p>
      <w:pPr>
        <w:snapToGrid w:val="0"/>
        <w:spacing w:line="360" w:lineRule="auto"/>
        <w:ind w:firstLine="0" w:firstLineChars="0"/>
        <w:jc w:val="center"/>
        <w:rPr>
          <w:rFonts w:asciiTheme="minorEastAsia" w:hAnsiTheme="minorEastAsia" w:cstheme="minorEastAsia"/>
        </w:rPr>
      </w:pPr>
    </w:p>
    <w:bookmarkEnd w:id="114"/>
    <w:bookmarkEnd w:id="115"/>
    <w:bookmarkEnd w:id="116"/>
    <w:p>
      <w:pPr>
        <w:pStyle w:val="7"/>
        <w:snapToGrid w:val="0"/>
        <w:spacing w:before="0" w:after="0" w:line="360" w:lineRule="auto"/>
        <w:rPr>
          <w:rFonts w:cstheme="minorEastAsia"/>
        </w:rPr>
      </w:pPr>
      <w:bookmarkStart w:id="117" w:name="_Toc16148"/>
      <w:bookmarkStart w:id="118" w:name="_Toc43907186"/>
      <w:r>
        <w:rPr>
          <w:rFonts w:hint="eastAsia" w:cstheme="minorEastAsia"/>
        </w:rPr>
        <w:t>（二）法人资格证明</w:t>
      </w:r>
      <w:bookmarkEnd w:id="117"/>
      <w:bookmarkEnd w:id="118"/>
    </w:p>
    <w:p>
      <w:pPr>
        <w:snapToGrid w:val="0"/>
        <w:spacing w:line="360" w:lineRule="auto"/>
        <w:rPr>
          <w:rFonts w:asciiTheme="minorEastAsia" w:hAnsiTheme="minorEastAsia" w:cstheme="minorEastAsia"/>
        </w:rPr>
      </w:pPr>
      <w:r>
        <w:rPr>
          <w:rFonts w:hint="eastAsia" w:asciiTheme="minorEastAsia" w:hAnsiTheme="minorEastAsia" w:cstheme="minorEastAsia"/>
        </w:rPr>
        <w:t>（依法设立的法人或其他组织资格证明文件，如企业法人营业执照等）</w:t>
      </w:r>
      <w:bookmarkStart w:id="119" w:name="_Toc16430"/>
    </w:p>
    <w:p>
      <w:pPr>
        <w:widowControl/>
        <w:ind w:firstLine="0" w:firstLineChars="0"/>
        <w:jc w:val="left"/>
        <w:rPr>
          <w:rFonts w:ascii="宋体" w:hAnsi="宋体"/>
          <w:sz w:val="24"/>
        </w:rPr>
      </w:pPr>
      <w:r>
        <w:br w:type="page"/>
      </w:r>
    </w:p>
    <w:p>
      <w:pPr>
        <w:pStyle w:val="2"/>
      </w:pPr>
    </w:p>
    <w:p>
      <w:pPr>
        <w:pStyle w:val="7"/>
        <w:snapToGrid w:val="0"/>
        <w:spacing w:before="0" w:after="0" w:line="360" w:lineRule="auto"/>
        <w:rPr>
          <w:rFonts w:cstheme="minorEastAsia"/>
        </w:rPr>
      </w:pPr>
      <w:bookmarkStart w:id="120" w:name="_Toc43907187"/>
      <w:r>
        <w:rPr>
          <w:rFonts w:hint="eastAsia" w:cstheme="minorEastAsia"/>
        </w:rPr>
        <w:t>（三）</w:t>
      </w:r>
      <w:bookmarkEnd w:id="119"/>
      <w:bookmarkStart w:id="121" w:name="_Toc6516"/>
      <w:bookmarkStart w:id="122" w:name="_Toc506205354"/>
      <w:bookmarkStart w:id="123" w:name="_Toc503983082"/>
      <w:bookmarkStart w:id="124" w:name="_Toc10027"/>
      <w:r>
        <w:rPr>
          <w:rFonts w:cstheme="minorEastAsia"/>
        </w:rPr>
        <w:pict>
          <v:shape id="自选图形 72" o:spid="_x0000_s1026" o:spt="100" style="position:absolute;left:0pt;margin-left:0pt;margin-top:0pt;height:50pt;width:50pt;visibility:hidden;z-index:251658240;mso-width-relative:page;mso-height-relative:page;" filled="f" stroked="f" coordsize="21600,21600" o:gfxdata="UEsDBAoAAAAAAIdO4kAAAAAAAAAAAAAAAAAEAAAAZHJzL1BLAwQUAAAACACHTuJAC7OcfdAAAAAF&#10;AQAADwAAAGRycy9kb3ducmV2LnhtbE2PT2vCQBDF7wW/wzJCb3XWCippNoJCj6XUKngcs9Mkmp0N&#10;2fVPv33XUqiXYR5vePN7+eLqWnXmPjReDIxHGhRL6W0jlYHN5+vTHFSIJJZaL2zgmwMsisFDTpn1&#10;F/ng8zpWKoVIyMhAHWOXIYayZkdh5DuW5H353lFMsq/Q9nRJ4a7FZ62n6KiR9KGmjlc1l8f1yRnY&#10;6VmH7jjbvk0Pm8mk0u+H5Q6NeRyO9QuoyNf4fww3/IQORWLa+5PYoFoDqUj8nTdP6yT3fwsWOd7T&#10;Fz9QSwMEFAAAAAgAh07iQHd1szCBAgAARwYAAA4AAABkcnMvZTJvRG9jLnhtbK1UzY7TMBC+I/EO&#10;lu9s0q66y0ZNV4hSLitYqcsDuLaTWPhPtvt344Z4Bm4ceQd4m5XgLRi7SX+2UK2AHJJxZubzzHwz&#10;M7xeKYkW3HlhdIl7ZzlGXFPDhK5L/O5u8uw5Rj4QzYg0mpd4zT2+Hj19MlzagvdNYyTjDgGI9sXS&#10;lrgJwRZZ5mnDFfFnxnINyso4RQIcXZ0xR5aArmTWz/OLbGkcs85Q7j38HW+UeJTwq4rT8LaqPA9I&#10;lhhiC+nt0nsW39loSIraEdsI2oZB/iIKRYSGS7dQYxIImjtxBKUEdcabKpxRozJTVYLylANk08sf&#10;ZDNtiOUpFyiOt9sy+f8HS98sbh0SrMSXPYw0UcDRj49ff374dP/5+/23L+iyj1EjGOOR3liupfUF&#10;eE3trYsJe3tj6HuPtJlyCeVurbIDs3jwrcOqcio6Qu5olYhYb4ngq4Ao/Lw4H+Q50EVB1cpwc0aK&#10;zpnOfXjNTQIiixsfNjwykBILrE3lBSRVKQmULohEHd1bLeR2Qnt+pIUI6u4O0nTX0pXuRAcVONlq&#10;loToF4OMIlpCgr1+D3JtgIKrKEWdMgt+Z5JV2FVpo99UYmch9WnLTt99bUJsb4UC76N2Nt33X2xT&#10;taFiHVb3fYh52g4q0/XHH7Eeb3OcK4BGIlJ3bcmBn/sd5o0UbCKkjIR4V89eSoegoUo8SU8cC3A5&#10;MJM6cns16A+gjQlstkqSAKKyMGte14nmA48DYGj/OAG/AbbOhzHxzSaAhLDZYkoE7sCBFA0n7JVm&#10;KKwtjLOGxYtjMIozjGQc5Cgly0CEfIxlKj0kuRvkKM0MW8P2mFsn6uZg8mFbpZK0mzWuw/1zQtrt&#10;/9E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C7OcfdAAAAAFAQAADwAAAAAAAAABACAAAAAiAAAA&#10;ZHJzL2Rvd25yZXYueG1sUEsBAhQAFAAAAAgAh07iQHd1szCBAgAARwYAAA4AAAAAAAAAAQAgAAAA&#10;HwEAAGRycy9lMm9Eb2MueG1sUEsFBgAAAAAGAAYAWQEAABIGAAAAAA==&#10;" adj=",,">
            <v:fill on="f" focussize="0,0"/>
            <v:stroke on="f"/>
            <v:imagedata o:title=""/>
            <o:lock v:ext="edit" selection="t"/>
          </v:shape>
        </w:pict>
      </w:r>
      <w:bookmarkStart w:id="125" w:name="_Toc503961413"/>
      <w:bookmarkStart w:id="126" w:name="_Toc499815513"/>
      <w:r>
        <w:rPr>
          <w:rFonts w:hint="eastAsia" w:cstheme="minorEastAsia"/>
        </w:rPr>
        <w:t>近年财务状况表</w:t>
      </w:r>
      <w:bookmarkEnd w:id="120"/>
      <w:bookmarkEnd w:id="121"/>
      <w:bookmarkEnd w:id="122"/>
      <w:bookmarkEnd w:id="123"/>
      <w:bookmarkEnd w:id="124"/>
      <w:bookmarkEnd w:id="125"/>
      <w:bookmarkEnd w:id="126"/>
    </w:p>
    <w:p>
      <w:pPr>
        <w:snapToGrid w:val="0"/>
        <w:spacing w:line="360" w:lineRule="auto"/>
        <w:rPr>
          <w:rFonts w:asciiTheme="minorEastAsia" w:hAnsiTheme="minorEastAsia" w:cstheme="minorEastAsia"/>
        </w:rPr>
      </w:pPr>
      <w:r>
        <w:rPr>
          <w:rFonts w:hint="eastAsia" w:asciiTheme="minorEastAsia" w:hAnsiTheme="minorEastAsia" w:cstheme="minorEastAsia"/>
        </w:rPr>
        <w:t>投标人应根据投标人须知第3.5.2项的要求在本表后附相关证明材料。</w:t>
      </w:r>
    </w:p>
    <w:p>
      <w:pPr>
        <w:pStyle w:val="2"/>
        <w:snapToGrid w:val="0"/>
        <w:rPr>
          <w:rFonts w:asciiTheme="minorEastAsia" w:hAnsiTheme="minorEastAsia" w:cstheme="minorEastAsia"/>
        </w:rPr>
      </w:pPr>
    </w:p>
    <w:p>
      <w:pPr>
        <w:pStyle w:val="31"/>
        <w:snapToGrid w:val="0"/>
        <w:spacing w:line="360" w:lineRule="auto"/>
        <w:rPr>
          <w:rFonts w:asciiTheme="minorEastAsia" w:hAnsiTheme="minorEastAsia" w:eastAsiaTheme="minorEastAsia" w:cstheme="minorEastAsia"/>
          <w:lang w:eastAsia="zh-CN"/>
        </w:rPr>
      </w:pPr>
    </w:p>
    <w:p>
      <w:pPr>
        <w:rPr>
          <w:rFonts w:asciiTheme="minorEastAsia" w:hAnsiTheme="minorEastAsia" w:cstheme="minorEastAsia"/>
        </w:rPr>
      </w:pPr>
      <w:bookmarkStart w:id="127" w:name="_Toc503983083"/>
      <w:bookmarkStart w:id="128" w:name="_Toc506205355"/>
      <w:bookmarkStart w:id="129" w:name="_Toc17892"/>
      <w:r>
        <w:rPr>
          <w:rFonts w:hint="eastAsia" w:asciiTheme="minorEastAsia" w:hAnsiTheme="minorEastAsia" w:cstheme="minorEastAsia"/>
        </w:rPr>
        <w:br w:type="page"/>
      </w:r>
    </w:p>
    <w:p>
      <w:pPr>
        <w:pStyle w:val="6"/>
        <w:numPr>
          <w:ilvl w:val="0"/>
          <w:numId w:val="8"/>
        </w:numPr>
        <w:snapToGrid w:val="0"/>
        <w:spacing w:before="0" w:after="0" w:line="360" w:lineRule="auto"/>
        <w:jc w:val="center"/>
        <w:rPr>
          <w:sz w:val="32"/>
          <w:szCs w:val="32"/>
        </w:rPr>
      </w:pPr>
      <w:bookmarkStart w:id="130" w:name="_Toc43907188"/>
      <w:r>
        <w:rPr>
          <w:rFonts w:hint="eastAsia" w:cstheme="minorEastAsia"/>
        </w:rPr>
        <w:t>近年完的类似项目</w:t>
      </w:r>
      <w:bookmarkEnd w:id="127"/>
      <w:bookmarkEnd w:id="128"/>
      <w:bookmarkEnd w:id="129"/>
      <w:bookmarkEnd w:id="130"/>
      <w:r>
        <w:rPr>
          <w:rFonts w:hint="eastAsia" w:cstheme="minorEastAsia"/>
        </w:rPr>
        <w:t>一览表</w:t>
      </w:r>
    </w:p>
    <w:p>
      <w:pPr>
        <w:pStyle w:val="58"/>
        <w:spacing w:line="560" w:lineRule="exact"/>
        <w:jc w:val="center"/>
        <w:rPr>
          <w:rFonts w:eastAsia="方正大标宋简体"/>
          <w:sz w:val="32"/>
          <w:szCs w:val="22"/>
        </w:rPr>
      </w:pPr>
      <w:r>
        <w:rPr>
          <w:rFonts w:hint="eastAsia" w:eastAsia="方正大标宋简体"/>
          <w:sz w:val="32"/>
          <w:szCs w:val="22"/>
        </w:rPr>
        <w:t>按时间顺序依次提供业绩证明材料复印件并加盖单位公章</w:t>
      </w:r>
    </w:p>
    <w:tbl>
      <w:tblPr>
        <w:tblStyle w:val="26"/>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9"/>
        <w:gridCol w:w="1823"/>
        <w:gridCol w:w="2365"/>
        <w:gridCol w:w="1581"/>
        <w:gridCol w:w="1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r>
              <w:rPr>
                <w:szCs w:val="21"/>
              </w:rPr>
              <w:t>序号</w:t>
            </w:r>
          </w:p>
        </w:tc>
        <w:tc>
          <w:tcPr>
            <w:tcW w:w="1823"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r>
              <w:rPr>
                <w:szCs w:val="21"/>
              </w:rPr>
              <w:t>项目名称</w:t>
            </w:r>
          </w:p>
        </w:tc>
        <w:tc>
          <w:tcPr>
            <w:tcW w:w="2365"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ind w:firstLine="210" w:firstLineChars="100"/>
              <w:rPr>
                <w:szCs w:val="21"/>
              </w:rPr>
            </w:pPr>
            <w:r>
              <w:rPr>
                <w:rFonts w:hint="eastAsia"/>
                <w:szCs w:val="21"/>
              </w:rPr>
              <w:t>项目概况及</w:t>
            </w:r>
          </w:p>
          <w:p>
            <w:pPr>
              <w:pStyle w:val="58"/>
              <w:spacing w:line="560" w:lineRule="exact"/>
              <w:ind w:firstLine="210" w:firstLineChars="100"/>
              <w:rPr>
                <w:szCs w:val="21"/>
              </w:rPr>
            </w:pPr>
            <w:r>
              <w:rPr>
                <w:rFonts w:hint="eastAsia"/>
                <w:szCs w:val="21"/>
              </w:rPr>
              <w:t>投标人履约情况</w:t>
            </w:r>
          </w:p>
        </w:tc>
        <w:tc>
          <w:tcPr>
            <w:tcW w:w="1581"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ind w:firstLine="210" w:firstLineChars="100"/>
              <w:rPr>
                <w:szCs w:val="21"/>
              </w:rPr>
            </w:pPr>
            <w:r>
              <w:rPr>
                <w:szCs w:val="21"/>
              </w:rPr>
              <w:t>采购单位</w:t>
            </w:r>
          </w:p>
        </w:tc>
        <w:tc>
          <w:tcPr>
            <w:tcW w:w="1823"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r>
              <w:rPr>
                <w:szCs w:val="21"/>
              </w:rPr>
              <w:t>合同金额</w:t>
            </w:r>
          </w:p>
          <w:p>
            <w:pPr>
              <w:pStyle w:val="58"/>
              <w:spacing w:line="560" w:lineRule="exact"/>
              <w:jc w:val="center"/>
              <w:rPr>
                <w:szCs w:val="21"/>
              </w:rPr>
            </w:pPr>
            <w:r>
              <w:rPr>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6"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2365"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1581"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6"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2365"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1581"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6"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2365"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1581"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58"/>
              <w:spacing w:line="560" w:lineRule="exact"/>
              <w:jc w:val="center"/>
              <w:rPr>
                <w:szCs w:val="21"/>
              </w:rPr>
            </w:pPr>
          </w:p>
        </w:tc>
      </w:tr>
    </w:tbl>
    <w:p>
      <w:pPr>
        <w:ind w:firstLine="0" w:firstLineChars="0"/>
      </w:pPr>
    </w:p>
    <w:p>
      <w:pPr>
        <w:snapToGrid w:val="0"/>
        <w:spacing w:line="360" w:lineRule="auto"/>
        <w:rPr>
          <w:rFonts w:ascii="宋体" w:hAnsi="宋体" w:cs="宋体"/>
          <w:kern w:val="0"/>
        </w:rPr>
      </w:pPr>
      <w:r>
        <w:rPr>
          <w:rFonts w:hint="eastAsia" w:ascii="宋体" w:hAnsi="宋体" w:cs="宋体"/>
          <w:kern w:val="0"/>
        </w:rPr>
        <w:t>注：1.本表后应附相关证明材料：</w:t>
      </w:r>
      <w:r>
        <w:rPr>
          <w:rFonts w:hint="eastAsia" w:asciiTheme="minorEastAsia" w:hAnsiTheme="minorEastAsia" w:cstheme="minorEastAsia"/>
        </w:rPr>
        <w:t>中标通知书和（或）合同协议书、设备进场验收证书</w:t>
      </w:r>
      <w:r>
        <w:rPr>
          <w:rFonts w:hint="eastAsia" w:ascii="宋体" w:hAnsi="宋体" w:cs="宋体"/>
          <w:kern w:val="0"/>
        </w:rPr>
        <w:t>等复印件，具体要求见第三章评标办法。</w:t>
      </w:r>
    </w:p>
    <w:p>
      <w:pPr>
        <w:ind w:firstLine="0" w:firstLineChars="0"/>
      </w:pPr>
    </w:p>
    <w:p>
      <w:pPr>
        <w:snapToGrid w:val="0"/>
        <w:spacing w:line="360" w:lineRule="auto"/>
        <w:rPr>
          <w:rFonts w:asciiTheme="minorEastAsia" w:hAnsiTheme="minorEastAsia" w:cstheme="minorEastAsia"/>
        </w:rPr>
      </w:pPr>
      <w:bookmarkStart w:id="131" w:name="_Toc503983086"/>
      <w:bookmarkStart w:id="132" w:name="_Toc20463"/>
      <w:bookmarkStart w:id="133" w:name="_Toc506205358"/>
    </w:p>
    <w:p>
      <w:pPr>
        <w:pStyle w:val="31"/>
        <w:snapToGrid w:val="0"/>
        <w:spacing w:line="360" w:lineRule="auto"/>
        <w:rPr>
          <w:rFonts w:asciiTheme="minorEastAsia" w:hAnsiTheme="minorEastAsia" w:eastAsiaTheme="minorEastAsia" w:cstheme="minorEastAsia"/>
          <w:lang w:eastAsia="zh-CN"/>
        </w:rPr>
      </w:pP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bookmarkEnd w:id="131"/>
    <w:bookmarkEnd w:id="132"/>
    <w:bookmarkEnd w:id="133"/>
    <w:p>
      <w:pPr>
        <w:pStyle w:val="6"/>
        <w:snapToGrid w:val="0"/>
        <w:spacing w:before="0" w:after="0" w:line="360" w:lineRule="auto"/>
        <w:jc w:val="center"/>
        <w:rPr>
          <w:rFonts w:cstheme="minorEastAsia"/>
        </w:rPr>
      </w:pPr>
      <w:bookmarkStart w:id="134" w:name="_Toc43907189"/>
      <w:r>
        <w:rPr>
          <w:rFonts w:cstheme="minorEastAsia"/>
        </w:rPr>
        <w:t>八</w:t>
      </w:r>
      <w:r>
        <w:rPr>
          <w:rFonts w:hint="eastAsia" w:cstheme="minorEastAsia"/>
        </w:rPr>
        <w:t>、技术支持资料</w:t>
      </w:r>
      <w:bookmarkEnd w:id="134"/>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widowControl/>
        <w:ind w:firstLine="0" w:firstLineChars="0"/>
        <w:jc w:val="left"/>
        <w:rPr>
          <w:rFonts w:asciiTheme="minorEastAsia" w:hAnsiTheme="minorEastAsia" w:cstheme="minorEastAsia"/>
        </w:rPr>
      </w:pPr>
      <w:r>
        <w:rPr>
          <w:rFonts w:asciiTheme="minorEastAsia" w:hAnsiTheme="minorEastAsia" w:cstheme="minorEastAsia"/>
        </w:rPr>
        <w:br w:type="page"/>
      </w:r>
    </w:p>
    <w:p>
      <w:pPr>
        <w:snapToGrid w:val="0"/>
        <w:spacing w:line="360" w:lineRule="auto"/>
        <w:rPr>
          <w:rFonts w:asciiTheme="minorEastAsia" w:hAnsiTheme="minorEastAsia" w:cstheme="minorEastAsia"/>
        </w:rPr>
      </w:pPr>
    </w:p>
    <w:p>
      <w:pPr>
        <w:pStyle w:val="6"/>
        <w:snapToGrid w:val="0"/>
        <w:spacing w:before="0" w:after="0" w:line="360" w:lineRule="auto"/>
        <w:jc w:val="center"/>
        <w:rPr>
          <w:rFonts w:cstheme="minorEastAsia"/>
        </w:rPr>
      </w:pPr>
      <w:bookmarkStart w:id="135" w:name="_Toc43907190"/>
      <w:r>
        <w:rPr>
          <w:rFonts w:cstheme="minorEastAsia"/>
        </w:rPr>
        <w:t>九</w:t>
      </w:r>
      <w:r>
        <w:rPr>
          <w:rFonts w:hint="eastAsia" w:cstheme="minorEastAsia"/>
        </w:rPr>
        <w:t>、技术服务和质保期服务计划</w:t>
      </w:r>
      <w:bookmarkEnd w:id="135"/>
    </w:p>
    <w:p>
      <w:pPr>
        <w:snapToGrid w:val="0"/>
        <w:spacing w:line="360" w:lineRule="auto"/>
        <w:rPr>
          <w:rFonts w:asciiTheme="minorEastAsia" w:hAnsiTheme="minorEastAsia" w:cstheme="minorEastAsia"/>
        </w:rPr>
      </w:pPr>
      <w:r>
        <w:rPr>
          <w:rFonts w:hint="eastAsia" w:asciiTheme="minorEastAsia" w:hAnsiTheme="minorEastAsia" w:cstheme="minorEastAsia"/>
        </w:rPr>
        <w:t>（该栏内可包含：</w:t>
      </w:r>
      <w:r>
        <w:rPr>
          <w:rFonts w:hint="eastAsia" w:asciiTheme="minorEastAsia" w:hAnsiTheme="minorEastAsia" w:cstheme="minorEastAsia"/>
          <w:szCs w:val="21"/>
          <w:lang w:val="zh-TW" w:eastAsia="zh-TW"/>
        </w:rPr>
        <w:t>项目组织架构、项目实施计划及时间进度安排、验收方案、售后服务方案</w:t>
      </w:r>
      <w:r>
        <w:rPr>
          <w:rFonts w:hint="eastAsia" w:asciiTheme="minorEastAsia" w:hAnsiTheme="minorEastAsia" w:cstheme="minorEastAsia"/>
        </w:rPr>
        <w:t>等内容）</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widowControl/>
        <w:snapToGrid w:val="0"/>
        <w:spacing w:line="360" w:lineRule="auto"/>
        <w:ind w:firstLine="0" w:firstLineChars="0"/>
        <w:jc w:val="left"/>
        <w:rPr>
          <w:rFonts w:asciiTheme="minorEastAsia" w:hAnsiTheme="minorEastAsia" w:cstheme="minorEastAsia"/>
        </w:rPr>
      </w:pPr>
      <w:r>
        <w:rPr>
          <w:rFonts w:hint="eastAsia" w:asciiTheme="minorEastAsia" w:hAnsiTheme="minorEastAsia" w:cstheme="minorEastAsia"/>
        </w:rPr>
        <w:br w:type="page"/>
      </w:r>
    </w:p>
    <w:p>
      <w:pPr>
        <w:pStyle w:val="6"/>
        <w:snapToGrid w:val="0"/>
        <w:spacing w:before="0" w:after="0" w:line="360" w:lineRule="auto"/>
        <w:jc w:val="center"/>
        <w:rPr>
          <w:rFonts w:cstheme="minorEastAsia"/>
        </w:rPr>
      </w:pPr>
      <w:bookmarkStart w:id="136" w:name="_Toc43907191"/>
      <w:r>
        <w:rPr>
          <w:rFonts w:hint="eastAsia" w:cstheme="minorEastAsia"/>
        </w:rPr>
        <w:t>十、其他资料</w:t>
      </w:r>
      <w:bookmarkEnd w:id="136"/>
    </w:p>
    <w:p>
      <w:pPr>
        <w:pStyle w:val="7"/>
        <w:snapToGrid w:val="0"/>
        <w:spacing w:before="0" w:after="0" w:line="360" w:lineRule="auto"/>
        <w:rPr>
          <w:rFonts w:cstheme="minorEastAsia"/>
        </w:rPr>
      </w:pPr>
      <w:bookmarkStart w:id="137" w:name="_Toc503983091"/>
      <w:bookmarkStart w:id="138" w:name="_Toc17488"/>
      <w:bookmarkStart w:id="139" w:name="_Toc506205363"/>
      <w:bookmarkStart w:id="140" w:name="_Toc43907192"/>
      <w:r>
        <w:rPr>
          <w:rFonts w:hint="eastAsia" w:cstheme="minorEastAsia"/>
        </w:rPr>
        <w:t>（一）承诺书</w:t>
      </w:r>
      <w:bookmarkEnd w:id="137"/>
      <w:bookmarkEnd w:id="138"/>
      <w:bookmarkEnd w:id="139"/>
      <w:bookmarkEnd w:id="140"/>
    </w:p>
    <w:p>
      <w:pPr>
        <w:snapToGrid w:val="0"/>
        <w:spacing w:line="360" w:lineRule="auto"/>
        <w:ind w:firstLine="0" w:firstLineChars="0"/>
        <w:rPr>
          <w:rFonts w:asciiTheme="minorEastAsia" w:hAnsiTheme="minorEastAsia" w:cstheme="minorEastAsia"/>
        </w:rPr>
      </w:pPr>
      <w:r>
        <w:rPr>
          <w:rFonts w:hint="eastAsia" w:asciiTheme="minorEastAsia" w:hAnsiTheme="minorEastAsia" w:cstheme="minorEastAsia"/>
        </w:rPr>
        <w:t>______________（招标人名称）:</w:t>
      </w:r>
    </w:p>
    <w:p>
      <w:pPr>
        <w:snapToGrid w:val="0"/>
        <w:spacing w:line="360" w:lineRule="auto"/>
        <w:rPr>
          <w:rFonts w:asciiTheme="minorEastAsia" w:hAnsiTheme="minorEastAsia" w:cstheme="minorEastAsia"/>
        </w:rPr>
      </w:pPr>
      <w:r>
        <w:rPr>
          <w:rFonts w:hint="eastAsia" w:asciiTheme="minorEastAsia" w:hAnsiTheme="minorEastAsia" w:cstheme="minorEastAsia"/>
        </w:rPr>
        <w:t>我方将参加_______（项目名称）_______（招标编号）的投标现承诺如下：</w:t>
      </w:r>
    </w:p>
    <w:p>
      <w:pPr>
        <w:snapToGrid w:val="0"/>
        <w:spacing w:line="360" w:lineRule="auto"/>
        <w:rPr>
          <w:rFonts w:asciiTheme="minorEastAsia" w:hAnsiTheme="minorEastAsia" w:cstheme="minorEastAsia"/>
        </w:rPr>
      </w:pPr>
      <w:bookmarkStart w:id="141" w:name="_Toc503961423"/>
      <w:r>
        <w:rPr>
          <w:rFonts w:hint="eastAsia" w:asciiTheme="minorEastAsia" w:hAnsiTheme="minorEastAsia" w:cstheme="minorEastAsia"/>
        </w:rPr>
        <w:t>1、投标文件中的重要内容没有失实或者弄虚作假；</w:t>
      </w:r>
      <w:bookmarkEnd w:id="141"/>
    </w:p>
    <w:p>
      <w:pPr>
        <w:snapToGrid w:val="0"/>
        <w:spacing w:line="360" w:lineRule="auto"/>
        <w:rPr>
          <w:rFonts w:asciiTheme="minorEastAsia" w:hAnsiTheme="minorEastAsia" w:cstheme="minorEastAsia"/>
        </w:rPr>
      </w:pPr>
      <w:r>
        <w:rPr>
          <w:rFonts w:hint="eastAsia" w:asciiTheme="minorEastAsia" w:hAnsiTheme="minorEastAsia" w:cstheme="minorEastAsia"/>
        </w:rPr>
        <w:t>2、我方未处于被责令停业、投标资格被取消或者财产被接管、冻结和破产状态；</w:t>
      </w:r>
    </w:p>
    <w:p>
      <w:pPr>
        <w:snapToGrid w:val="0"/>
        <w:spacing w:line="360" w:lineRule="auto"/>
        <w:rPr>
          <w:rFonts w:asciiTheme="minorEastAsia" w:hAnsiTheme="minorEastAsia" w:cstheme="minorEastAsia"/>
        </w:rPr>
      </w:pPr>
      <w:bookmarkStart w:id="142" w:name="_Toc503961424"/>
      <w:r>
        <w:rPr>
          <w:rFonts w:hint="eastAsia" w:asciiTheme="minorEastAsia" w:hAnsiTheme="minorEastAsia" w:cstheme="minorEastAsia"/>
        </w:rPr>
        <w:t>3、我方没有因骗取中标或者严重违约以及发生重大工程质量、安全生产事故等问题，被</w:t>
      </w:r>
      <w:bookmarkEnd w:id="142"/>
      <w:r>
        <w:rPr>
          <w:rFonts w:hint="eastAsia" w:asciiTheme="minorEastAsia" w:hAnsiTheme="minorEastAsia" w:cstheme="minorEastAsia"/>
        </w:rPr>
        <w:t>有关部门暂停投标资格并在暂停期内的；</w:t>
      </w:r>
    </w:p>
    <w:p>
      <w:pPr>
        <w:snapToGrid w:val="0"/>
        <w:spacing w:line="360" w:lineRule="auto"/>
        <w:rPr>
          <w:rFonts w:asciiTheme="minorEastAsia" w:hAnsiTheme="minorEastAsia" w:cstheme="minorEastAsia"/>
        </w:rPr>
      </w:pPr>
      <w:r>
        <w:rPr>
          <w:rFonts w:hint="eastAsia" w:asciiTheme="minorEastAsia" w:hAnsiTheme="minorEastAsia" w:cstheme="minorEastAsia"/>
        </w:rPr>
        <w:t>4、我方没有因违反法律、法规行为，依法被取消投标资格且期限未满的；</w:t>
      </w:r>
    </w:p>
    <w:p>
      <w:pPr>
        <w:snapToGrid w:val="0"/>
        <w:spacing w:line="360" w:lineRule="auto"/>
        <w:rPr>
          <w:rFonts w:asciiTheme="minorEastAsia" w:hAnsiTheme="minorEastAsia" w:cstheme="minorEastAsia"/>
        </w:rPr>
      </w:pPr>
      <w:r>
        <w:rPr>
          <w:rFonts w:hint="eastAsia" w:asciiTheme="minorEastAsia" w:hAnsiTheme="minorEastAsia" w:cstheme="minorEastAsia"/>
        </w:rPr>
        <w:t>5、 我方没有因招投标活动中有违法违规和不良行为，被有关招投标行政监督部门公示且期限未满的。</w:t>
      </w:r>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投标人（单位公章）：______________</w:t>
      </w:r>
    </w:p>
    <w:p>
      <w:pPr>
        <w:snapToGrid w:val="0"/>
        <w:spacing w:line="360" w:lineRule="auto"/>
        <w:rPr>
          <w:rFonts w:asciiTheme="minorEastAsia" w:hAnsiTheme="minorEastAsia" w:cstheme="minorEastAsia"/>
        </w:rPr>
      </w:pPr>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法定代表人（签字）：______________</w:t>
      </w:r>
    </w:p>
    <w:p>
      <w:pPr>
        <w:snapToGrid w:val="0"/>
        <w:spacing w:line="360" w:lineRule="auto"/>
        <w:rPr>
          <w:rFonts w:asciiTheme="minorEastAsia" w:hAnsiTheme="minorEastAsia" w:cstheme="minorEastAsia"/>
        </w:rPr>
      </w:pPr>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 xml:space="preserve">   日期：    年   月   日</w:t>
      </w:r>
    </w:p>
    <w:p>
      <w:pPr>
        <w:snapToGrid w:val="0"/>
        <w:spacing w:line="360" w:lineRule="auto"/>
        <w:rPr>
          <w:rFonts w:asciiTheme="minorEastAsia" w:hAnsiTheme="minorEastAsia" w:cstheme="minorEastAsia"/>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snapToGrid w:val="0"/>
        <w:spacing w:line="360" w:lineRule="auto"/>
        <w:rPr>
          <w:rFonts w:asciiTheme="minorEastAsia" w:hAnsiTheme="minorEastAsia" w:cstheme="minorEastAsia"/>
        </w:rPr>
      </w:pPr>
    </w:p>
    <w:p>
      <w:pPr>
        <w:pStyle w:val="7"/>
        <w:snapToGrid w:val="0"/>
        <w:spacing w:before="0" w:after="0" w:line="360" w:lineRule="auto"/>
        <w:rPr>
          <w:rFonts w:cstheme="minorEastAsia"/>
        </w:rPr>
      </w:pPr>
      <w:bookmarkStart w:id="143" w:name="_Toc503983092"/>
      <w:bookmarkStart w:id="144" w:name="_Toc506205364"/>
      <w:bookmarkStart w:id="145" w:name="_Toc503961425"/>
      <w:bookmarkStart w:id="146" w:name="_Toc28203"/>
      <w:bookmarkStart w:id="147" w:name="_Toc43907193"/>
      <w:r>
        <w:rPr>
          <w:rFonts w:hint="eastAsia" w:cstheme="minorEastAsia"/>
        </w:rPr>
        <w:t>（二）开户许可证</w:t>
      </w:r>
      <w:bookmarkEnd w:id="143"/>
      <w:bookmarkEnd w:id="144"/>
      <w:bookmarkEnd w:id="145"/>
      <w:r>
        <w:rPr>
          <w:rFonts w:hint="eastAsia" w:cstheme="minorEastAsia"/>
        </w:rPr>
        <w:t>（基本账户）</w:t>
      </w:r>
      <w:bookmarkEnd w:id="146"/>
      <w:bookmarkEnd w:id="147"/>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bookmarkStart w:id="148" w:name="_Toc503983093"/>
      <w:bookmarkStart w:id="149" w:name="_Toc25512"/>
      <w:bookmarkStart w:id="150" w:name="_Toc503961426"/>
      <w:bookmarkStart w:id="151" w:name="_Toc506205365"/>
      <w:r>
        <w:rPr>
          <w:rFonts w:hint="eastAsia" w:asciiTheme="minorEastAsia" w:hAnsiTheme="minorEastAsia" w:cstheme="minorEastAsia"/>
        </w:rPr>
        <w:br w:type="page"/>
      </w:r>
    </w:p>
    <w:bookmarkEnd w:id="148"/>
    <w:bookmarkEnd w:id="149"/>
    <w:bookmarkEnd w:id="150"/>
    <w:bookmarkEnd w:id="151"/>
    <w:p>
      <w:pPr>
        <w:pStyle w:val="7"/>
        <w:snapToGrid w:val="0"/>
        <w:spacing w:before="0" w:after="0" w:line="360" w:lineRule="auto"/>
        <w:rPr>
          <w:rFonts w:cstheme="minorEastAsia"/>
        </w:rPr>
      </w:pPr>
      <w:bookmarkStart w:id="152" w:name="_Toc503961429"/>
      <w:bookmarkStart w:id="153" w:name="_Toc24318"/>
      <w:bookmarkStart w:id="154" w:name="_Toc506205368"/>
      <w:bookmarkStart w:id="155" w:name="_Toc503983096"/>
      <w:bookmarkStart w:id="156" w:name="_Toc43907194"/>
      <w:r>
        <w:rPr>
          <w:rFonts w:hint="eastAsia" w:cstheme="minorEastAsia"/>
        </w:rPr>
        <w:t>（三）其他</w:t>
      </w:r>
      <w:bookmarkEnd w:id="152"/>
      <w:bookmarkEnd w:id="153"/>
      <w:bookmarkEnd w:id="154"/>
      <w:bookmarkEnd w:id="155"/>
      <w:bookmarkEnd w:id="156"/>
    </w:p>
    <w:p>
      <w:pPr>
        <w:snapToGrid w:val="0"/>
        <w:spacing w:line="360" w:lineRule="auto"/>
        <w:rPr>
          <w:rFonts w:asciiTheme="minorEastAsia" w:hAnsiTheme="minorEastAsia" w:cstheme="minorEastAsia"/>
        </w:rPr>
      </w:pPr>
      <w:r>
        <w:rPr>
          <w:rFonts w:hint="eastAsia" w:asciiTheme="minorEastAsia" w:hAnsiTheme="minorEastAsia" w:cstheme="minorEastAsia"/>
        </w:rPr>
        <w:t>注释：此处可附第三章评标办法所要求的材料或投标人认为需要提供的其他材料。</w:t>
      </w:r>
    </w:p>
    <w:sectPr>
      <w:headerReference r:id="rId9" w:type="default"/>
      <w:footerReference r:id="rId10"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MS Mincho">
    <w:altName w:val="MS Gothic"/>
    <w:panose1 w:val="02020609040205080304"/>
    <w:charset w:val="80"/>
    <w:family w:val="roman"/>
    <w:pitch w:val="default"/>
    <w:sig w:usb0="00000000" w:usb1="00000000" w:usb2="00000010" w:usb3="00000000" w:csb0="00020000" w:csb1="00000000"/>
  </w:font>
  <w:font w:name="Wingdings 2">
    <w:panose1 w:val="05020102010507070707"/>
    <w:charset w:val="02"/>
    <w:family w:val="roman"/>
    <w:pitch w:val="default"/>
    <w:sig w:usb0="00000000" w:usb1="00000000" w:usb2="00000000" w:usb3="00000000" w:csb0="80000000" w:csb1="00000000"/>
  </w:font>
  <w:font w:name="方正大标宋简体">
    <w:altName w:val="微软雅黑"/>
    <w:panose1 w:val="00000000000000000000"/>
    <w:charset w:val="86"/>
    <w:family w:val="script"/>
    <w:pitch w:val="default"/>
    <w:sig w:usb0="00000000" w:usb1="00000000" w:usb2="00000010" w:usb3="00000000" w:csb0="00040000" w:csb1="00000000"/>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1511068"/>
    </w:sdtPr>
    <w:sdtContent>
      <w:p>
        <w:pPr>
          <w:pStyle w:val="19"/>
          <w:ind w:firstLine="360"/>
          <w:jc w:val="center"/>
        </w:pPr>
        <w:r>
          <w:fldChar w:fldCharType="begin"/>
        </w:r>
        <w:r>
          <w:instrText xml:space="preserve">PAGE   \* MERGEFORMAT</w:instrText>
        </w:r>
        <w:r>
          <w:fldChar w:fldCharType="separate"/>
        </w:r>
        <w:r>
          <w:rPr>
            <w:lang w:val="zh-CN"/>
          </w:rPr>
          <w:t>iv</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7223961"/>
    </w:sdtPr>
    <w:sdtContent>
      <w:p>
        <w:pPr>
          <w:pStyle w:val="19"/>
          <w:ind w:firstLine="360"/>
          <w:jc w:val="center"/>
        </w:pPr>
        <w:r>
          <w:fldChar w:fldCharType="begin"/>
        </w:r>
        <w:r>
          <w:instrText xml:space="preserve">PAGE   \* MERGEFORMAT</w:instrText>
        </w:r>
        <w:r>
          <w:fldChar w:fldCharType="separate"/>
        </w:r>
        <w:r>
          <w:rPr>
            <w:lang w:val="zh-CN"/>
          </w:rPr>
          <w:t>26</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16C26"/>
    <w:multiLevelType w:val="singleLevel"/>
    <w:tmpl w:val="81D16C26"/>
    <w:lvl w:ilvl="0" w:tentative="0">
      <w:start w:val="1"/>
      <w:numFmt w:val="decimal"/>
      <w:lvlText w:val="(%1)"/>
      <w:lvlJc w:val="left"/>
      <w:pPr>
        <w:ind w:left="425" w:hanging="425"/>
      </w:pPr>
      <w:rPr>
        <w:rFonts w:hint="default"/>
      </w:rPr>
    </w:lvl>
  </w:abstractNum>
  <w:abstractNum w:abstractNumId="1">
    <w:nsid w:val="9032C8D2"/>
    <w:multiLevelType w:val="singleLevel"/>
    <w:tmpl w:val="9032C8D2"/>
    <w:lvl w:ilvl="0" w:tentative="0">
      <w:start w:val="7"/>
      <w:numFmt w:val="chineseCounting"/>
      <w:suff w:val="nothing"/>
      <w:lvlText w:val="%1、"/>
      <w:lvlJc w:val="left"/>
      <w:rPr>
        <w:rFonts w:hint="eastAsia"/>
      </w:rPr>
    </w:lvl>
  </w:abstractNum>
  <w:abstractNum w:abstractNumId="2">
    <w:nsid w:val="D9AAF3E8"/>
    <w:multiLevelType w:val="singleLevel"/>
    <w:tmpl w:val="D9AAF3E8"/>
    <w:lvl w:ilvl="0" w:tentative="0">
      <w:start w:val="1"/>
      <w:numFmt w:val="decimal"/>
      <w:lvlText w:val="(%1)"/>
      <w:lvlJc w:val="left"/>
      <w:pPr>
        <w:ind w:left="425" w:hanging="425"/>
      </w:pPr>
      <w:rPr>
        <w:rFonts w:hint="default"/>
      </w:rPr>
    </w:lvl>
  </w:abstractNum>
  <w:abstractNum w:abstractNumId="3">
    <w:nsid w:val="DF9FD44F"/>
    <w:multiLevelType w:val="singleLevel"/>
    <w:tmpl w:val="DF9FD44F"/>
    <w:lvl w:ilvl="0" w:tentative="0">
      <w:start w:val="1"/>
      <w:numFmt w:val="decimal"/>
      <w:suff w:val="nothing"/>
      <w:lvlText w:val="%1、"/>
      <w:lvlJc w:val="left"/>
    </w:lvl>
  </w:abstractNum>
  <w:abstractNum w:abstractNumId="4">
    <w:nsid w:val="F8AE12EB"/>
    <w:multiLevelType w:val="singleLevel"/>
    <w:tmpl w:val="F8AE12EB"/>
    <w:lvl w:ilvl="0" w:tentative="0">
      <w:start w:val="1"/>
      <w:numFmt w:val="decimal"/>
      <w:lvlText w:val="(%1)"/>
      <w:lvlJc w:val="left"/>
      <w:pPr>
        <w:ind w:left="425" w:hanging="425"/>
      </w:pPr>
      <w:rPr>
        <w:rFonts w:hint="default"/>
      </w:rPr>
    </w:lvl>
  </w:abstractNum>
  <w:abstractNum w:abstractNumId="5">
    <w:nsid w:val="149DE461"/>
    <w:multiLevelType w:val="singleLevel"/>
    <w:tmpl w:val="149DE461"/>
    <w:lvl w:ilvl="0" w:tentative="0">
      <w:start w:val="9"/>
      <w:numFmt w:val="chineseCounting"/>
      <w:suff w:val="nothing"/>
      <w:lvlText w:val="%1、"/>
      <w:lvlJc w:val="left"/>
      <w:rPr>
        <w:rFonts w:hint="eastAsia"/>
      </w:rPr>
    </w:lvl>
  </w:abstractNum>
  <w:abstractNum w:abstractNumId="6">
    <w:nsid w:val="5BABE4C7"/>
    <w:multiLevelType w:val="singleLevel"/>
    <w:tmpl w:val="5BABE4C7"/>
    <w:lvl w:ilvl="0" w:tentative="0">
      <w:start w:val="1"/>
      <w:numFmt w:val="decimal"/>
      <w:lvlText w:val="(%1)"/>
      <w:lvlJc w:val="left"/>
      <w:pPr>
        <w:ind w:left="425" w:hanging="425"/>
      </w:pPr>
      <w:rPr>
        <w:rFonts w:hint="default"/>
      </w:rPr>
    </w:lvl>
  </w:abstractNum>
  <w:abstractNum w:abstractNumId="7">
    <w:nsid w:val="7C7AF4E3"/>
    <w:multiLevelType w:val="singleLevel"/>
    <w:tmpl w:val="7C7AF4E3"/>
    <w:lvl w:ilvl="0" w:tentative="0">
      <w:start w:val="3"/>
      <w:numFmt w:val="chineseCounting"/>
      <w:suff w:val="nothing"/>
      <w:lvlText w:val="%1、"/>
      <w:lvlJc w:val="left"/>
      <w:rPr>
        <w:rFonts w:hint="eastAsia"/>
      </w:rPr>
    </w:lvl>
  </w:abstractNum>
  <w:num w:numId="1">
    <w:abstractNumId w:val="7"/>
  </w:num>
  <w:num w:numId="2">
    <w:abstractNumId w:val="5"/>
  </w:num>
  <w:num w:numId="3">
    <w:abstractNumId w:val="3"/>
  </w:num>
  <w:num w:numId="4">
    <w:abstractNumId w:val="4"/>
  </w:num>
  <w:num w:numId="5">
    <w:abstractNumId w:val="0"/>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removePersonalInformation/>
  <w:displayBackgroundShape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52C0F"/>
    <w:rsid w:val="00027442"/>
    <w:rsid w:val="00027B7F"/>
    <w:rsid w:val="00031E1C"/>
    <w:rsid w:val="0004614A"/>
    <w:rsid w:val="00062756"/>
    <w:rsid w:val="00065B98"/>
    <w:rsid w:val="00072288"/>
    <w:rsid w:val="00082A05"/>
    <w:rsid w:val="000A6B11"/>
    <w:rsid w:val="000D2C22"/>
    <w:rsid w:val="000E1102"/>
    <w:rsid w:val="000E5C21"/>
    <w:rsid w:val="000F15C2"/>
    <w:rsid w:val="000F3720"/>
    <w:rsid w:val="000F3724"/>
    <w:rsid w:val="00106AAD"/>
    <w:rsid w:val="00110E78"/>
    <w:rsid w:val="00111427"/>
    <w:rsid w:val="001265B6"/>
    <w:rsid w:val="001404A4"/>
    <w:rsid w:val="00140862"/>
    <w:rsid w:val="001426F4"/>
    <w:rsid w:val="001450A1"/>
    <w:rsid w:val="00157C60"/>
    <w:rsid w:val="001611A1"/>
    <w:rsid w:val="00161653"/>
    <w:rsid w:val="0018326D"/>
    <w:rsid w:val="0019156F"/>
    <w:rsid w:val="001B0194"/>
    <w:rsid w:val="001B0F61"/>
    <w:rsid w:val="001C4317"/>
    <w:rsid w:val="001D54E3"/>
    <w:rsid w:val="001F03F4"/>
    <w:rsid w:val="002013F8"/>
    <w:rsid w:val="0021542F"/>
    <w:rsid w:val="002306AF"/>
    <w:rsid w:val="002346D4"/>
    <w:rsid w:val="002351ED"/>
    <w:rsid w:val="002374A4"/>
    <w:rsid w:val="0024218F"/>
    <w:rsid w:val="0025036A"/>
    <w:rsid w:val="0025485D"/>
    <w:rsid w:val="00266A2B"/>
    <w:rsid w:val="00284C0D"/>
    <w:rsid w:val="002904B4"/>
    <w:rsid w:val="0029572E"/>
    <w:rsid w:val="002A3B88"/>
    <w:rsid w:val="002E581F"/>
    <w:rsid w:val="002E6BA8"/>
    <w:rsid w:val="00301C3F"/>
    <w:rsid w:val="00305288"/>
    <w:rsid w:val="00311EE4"/>
    <w:rsid w:val="00332C21"/>
    <w:rsid w:val="00344403"/>
    <w:rsid w:val="00361229"/>
    <w:rsid w:val="00362C11"/>
    <w:rsid w:val="003A0A99"/>
    <w:rsid w:val="003B1ADE"/>
    <w:rsid w:val="003B210E"/>
    <w:rsid w:val="003B6185"/>
    <w:rsid w:val="003D4E22"/>
    <w:rsid w:val="003E64BD"/>
    <w:rsid w:val="003F4141"/>
    <w:rsid w:val="00401BD9"/>
    <w:rsid w:val="004043B0"/>
    <w:rsid w:val="00404D03"/>
    <w:rsid w:val="00416E02"/>
    <w:rsid w:val="004207DD"/>
    <w:rsid w:val="0044056B"/>
    <w:rsid w:val="00445E9E"/>
    <w:rsid w:val="00482D82"/>
    <w:rsid w:val="00483C76"/>
    <w:rsid w:val="004A0133"/>
    <w:rsid w:val="004A3D52"/>
    <w:rsid w:val="004B1D36"/>
    <w:rsid w:val="004B2270"/>
    <w:rsid w:val="004B62D9"/>
    <w:rsid w:val="004B63FB"/>
    <w:rsid w:val="004B7C9B"/>
    <w:rsid w:val="004C1FD8"/>
    <w:rsid w:val="004C321A"/>
    <w:rsid w:val="004C5D40"/>
    <w:rsid w:val="004E3715"/>
    <w:rsid w:val="00502B29"/>
    <w:rsid w:val="005156BB"/>
    <w:rsid w:val="00516ED0"/>
    <w:rsid w:val="00521FBD"/>
    <w:rsid w:val="00537519"/>
    <w:rsid w:val="0054472F"/>
    <w:rsid w:val="00554FF7"/>
    <w:rsid w:val="00557168"/>
    <w:rsid w:val="00585010"/>
    <w:rsid w:val="0059032B"/>
    <w:rsid w:val="005B3C42"/>
    <w:rsid w:val="005B5EE3"/>
    <w:rsid w:val="005B746D"/>
    <w:rsid w:val="005C2E2F"/>
    <w:rsid w:val="005C6F48"/>
    <w:rsid w:val="005F1204"/>
    <w:rsid w:val="0060646A"/>
    <w:rsid w:val="0061026C"/>
    <w:rsid w:val="00615502"/>
    <w:rsid w:val="00617A1F"/>
    <w:rsid w:val="00644803"/>
    <w:rsid w:val="00647382"/>
    <w:rsid w:val="00665FF3"/>
    <w:rsid w:val="006711A3"/>
    <w:rsid w:val="0067248B"/>
    <w:rsid w:val="00683D5E"/>
    <w:rsid w:val="00685398"/>
    <w:rsid w:val="00693ADA"/>
    <w:rsid w:val="006A1C37"/>
    <w:rsid w:val="006E0BEC"/>
    <w:rsid w:val="006E21C0"/>
    <w:rsid w:val="006E4AF0"/>
    <w:rsid w:val="006F3015"/>
    <w:rsid w:val="0070064E"/>
    <w:rsid w:val="00703252"/>
    <w:rsid w:val="00716277"/>
    <w:rsid w:val="007246F7"/>
    <w:rsid w:val="00727A9D"/>
    <w:rsid w:val="00734703"/>
    <w:rsid w:val="007452FA"/>
    <w:rsid w:val="00752C0F"/>
    <w:rsid w:val="00760E82"/>
    <w:rsid w:val="00764085"/>
    <w:rsid w:val="00786619"/>
    <w:rsid w:val="00792F5E"/>
    <w:rsid w:val="007C0D3C"/>
    <w:rsid w:val="008043E0"/>
    <w:rsid w:val="008226BB"/>
    <w:rsid w:val="008308AB"/>
    <w:rsid w:val="00850989"/>
    <w:rsid w:val="00851009"/>
    <w:rsid w:val="00851EAC"/>
    <w:rsid w:val="00860100"/>
    <w:rsid w:val="008667D8"/>
    <w:rsid w:val="00877C45"/>
    <w:rsid w:val="00885EB2"/>
    <w:rsid w:val="00891671"/>
    <w:rsid w:val="008B014B"/>
    <w:rsid w:val="008B7DB7"/>
    <w:rsid w:val="008D1128"/>
    <w:rsid w:val="008E03A9"/>
    <w:rsid w:val="008F3022"/>
    <w:rsid w:val="00931364"/>
    <w:rsid w:val="00956287"/>
    <w:rsid w:val="00971AB7"/>
    <w:rsid w:val="009826DE"/>
    <w:rsid w:val="00984F27"/>
    <w:rsid w:val="00994D70"/>
    <w:rsid w:val="009A1B74"/>
    <w:rsid w:val="009A3D3D"/>
    <w:rsid w:val="009A463C"/>
    <w:rsid w:val="009B3576"/>
    <w:rsid w:val="009B6F03"/>
    <w:rsid w:val="009C303A"/>
    <w:rsid w:val="009D16D4"/>
    <w:rsid w:val="009D6FA9"/>
    <w:rsid w:val="009E7F82"/>
    <w:rsid w:val="009F1FE4"/>
    <w:rsid w:val="00A02416"/>
    <w:rsid w:val="00A03879"/>
    <w:rsid w:val="00A07773"/>
    <w:rsid w:val="00A10FF4"/>
    <w:rsid w:val="00A203AC"/>
    <w:rsid w:val="00A21C4C"/>
    <w:rsid w:val="00A40C05"/>
    <w:rsid w:val="00A430A9"/>
    <w:rsid w:val="00A43629"/>
    <w:rsid w:val="00A61962"/>
    <w:rsid w:val="00A64B97"/>
    <w:rsid w:val="00A83A02"/>
    <w:rsid w:val="00AA1BF1"/>
    <w:rsid w:val="00AA53B8"/>
    <w:rsid w:val="00AC2472"/>
    <w:rsid w:val="00AE7672"/>
    <w:rsid w:val="00AF2488"/>
    <w:rsid w:val="00AF4793"/>
    <w:rsid w:val="00B058BD"/>
    <w:rsid w:val="00B26407"/>
    <w:rsid w:val="00B32AFD"/>
    <w:rsid w:val="00B61AD6"/>
    <w:rsid w:val="00B7160E"/>
    <w:rsid w:val="00B7579F"/>
    <w:rsid w:val="00B83A23"/>
    <w:rsid w:val="00BA7682"/>
    <w:rsid w:val="00BB162F"/>
    <w:rsid w:val="00BB7C2A"/>
    <w:rsid w:val="00BC3269"/>
    <w:rsid w:val="00BE2464"/>
    <w:rsid w:val="00BE3113"/>
    <w:rsid w:val="00BF30EB"/>
    <w:rsid w:val="00C05F2B"/>
    <w:rsid w:val="00C12666"/>
    <w:rsid w:val="00C1507D"/>
    <w:rsid w:val="00C159F2"/>
    <w:rsid w:val="00C3797C"/>
    <w:rsid w:val="00C668EC"/>
    <w:rsid w:val="00C722D9"/>
    <w:rsid w:val="00C72AAC"/>
    <w:rsid w:val="00C731F8"/>
    <w:rsid w:val="00CB170B"/>
    <w:rsid w:val="00CD04C8"/>
    <w:rsid w:val="00CD06CE"/>
    <w:rsid w:val="00D23C07"/>
    <w:rsid w:val="00D25BFB"/>
    <w:rsid w:val="00D474AE"/>
    <w:rsid w:val="00D55A4C"/>
    <w:rsid w:val="00D82302"/>
    <w:rsid w:val="00D87B5A"/>
    <w:rsid w:val="00DA7D60"/>
    <w:rsid w:val="00DC3784"/>
    <w:rsid w:val="00DC42C6"/>
    <w:rsid w:val="00DC6B86"/>
    <w:rsid w:val="00DC6E95"/>
    <w:rsid w:val="00DD0D3C"/>
    <w:rsid w:val="00DD670A"/>
    <w:rsid w:val="00E02261"/>
    <w:rsid w:val="00E259D2"/>
    <w:rsid w:val="00E334B1"/>
    <w:rsid w:val="00E36432"/>
    <w:rsid w:val="00E36F3B"/>
    <w:rsid w:val="00E50790"/>
    <w:rsid w:val="00E577FC"/>
    <w:rsid w:val="00E64AF8"/>
    <w:rsid w:val="00E67B4D"/>
    <w:rsid w:val="00E70BA7"/>
    <w:rsid w:val="00E72B36"/>
    <w:rsid w:val="00E8060A"/>
    <w:rsid w:val="00E812B8"/>
    <w:rsid w:val="00E923B0"/>
    <w:rsid w:val="00E95104"/>
    <w:rsid w:val="00E96123"/>
    <w:rsid w:val="00E9613D"/>
    <w:rsid w:val="00EA0C99"/>
    <w:rsid w:val="00EA1B1D"/>
    <w:rsid w:val="00EA3A6F"/>
    <w:rsid w:val="00EA4FF9"/>
    <w:rsid w:val="00ED0F65"/>
    <w:rsid w:val="00ED6D68"/>
    <w:rsid w:val="00ED7FBC"/>
    <w:rsid w:val="00EE1CC2"/>
    <w:rsid w:val="00EF0E21"/>
    <w:rsid w:val="00EF4BF7"/>
    <w:rsid w:val="00EF6FC2"/>
    <w:rsid w:val="00F12542"/>
    <w:rsid w:val="00F12AB6"/>
    <w:rsid w:val="00F15D88"/>
    <w:rsid w:val="00F3087D"/>
    <w:rsid w:val="00F37F20"/>
    <w:rsid w:val="00F479B6"/>
    <w:rsid w:val="00F67FAD"/>
    <w:rsid w:val="00F80E79"/>
    <w:rsid w:val="00F8553B"/>
    <w:rsid w:val="00F8559B"/>
    <w:rsid w:val="00F862E2"/>
    <w:rsid w:val="00FA7E6A"/>
    <w:rsid w:val="00FD6D02"/>
    <w:rsid w:val="00FE21E1"/>
    <w:rsid w:val="00FE64A0"/>
    <w:rsid w:val="012F4D3A"/>
    <w:rsid w:val="016F1DEB"/>
    <w:rsid w:val="01A97590"/>
    <w:rsid w:val="01AD1221"/>
    <w:rsid w:val="01B579BE"/>
    <w:rsid w:val="01BD3141"/>
    <w:rsid w:val="01D9535B"/>
    <w:rsid w:val="01DB6451"/>
    <w:rsid w:val="01EE5AD8"/>
    <w:rsid w:val="022157CC"/>
    <w:rsid w:val="02495C93"/>
    <w:rsid w:val="02524424"/>
    <w:rsid w:val="026A44BB"/>
    <w:rsid w:val="029934BD"/>
    <w:rsid w:val="02A84724"/>
    <w:rsid w:val="02BA70E4"/>
    <w:rsid w:val="02DE5036"/>
    <w:rsid w:val="03401295"/>
    <w:rsid w:val="035478E7"/>
    <w:rsid w:val="036B6034"/>
    <w:rsid w:val="037056C9"/>
    <w:rsid w:val="038F508C"/>
    <w:rsid w:val="03B43460"/>
    <w:rsid w:val="03B9385E"/>
    <w:rsid w:val="03E3256E"/>
    <w:rsid w:val="03F375F9"/>
    <w:rsid w:val="0404578E"/>
    <w:rsid w:val="041B476E"/>
    <w:rsid w:val="042C35CD"/>
    <w:rsid w:val="043B7180"/>
    <w:rsid w:val="04615986"/>
    <w:rsid w:val="048462F4"/>
    <w:rsid w:val="048C2A92"/>
    <w:rsid w:val="049E7993"/>
    <w:rsid w:val="04D17B32"/>
    <w:rsid w:val="04DB11B3"/>
    <w:rsid w:val="04E265A6"/>
    <w:rsid w:val="04E61878"/>
    <w:rsid w:val="04FE2027"/>
    <w:rsid w:val="05186CC8"/>
    <w:rsid w:val="051B3E29"/>
    <w:rsid w:val="053F72A6"/>
    <w:rsid w:val="05681D15"/>
    <w:rsid w:val="056F67CD"/>
    <w:rsid w:val="059506FC"/>
    <w:rsid w:val="060104FC"/>
    <w:rsid w:val="0609535F"/>
    <w:rsid w:val="066C12E0"/>
    <w:rsid w:val="069343D1"/>
    <w:rsid w:val="06975C46"/>
    <w:rsid w:val="06BE2A51"/>
    <w:rsid w:val="07916396"/>
    <w:rsid w:val="07D74599"/>
    <w:rsid w:val="07D7683A"/>
    <w:rsid w:val="082C145E"/>
    <w:rsid w:val="086A2F2B"/>
    <w:rsid w:val="086C7145"/>
    <w:rsid w:val="087A66FE"/>
    <w:rsid w:val="087F4E5B"/>
    <w:rsid w:val="089F6FE5"/>
    <w:rsid w:val="08D07BF6"/>
    <w:rsid w:val="08E57874"/>
    <w:rsid w:val="08F907D3"/>
    <w:rsid w:val="0913744C"/>
    <w:rsid w:val="09506311"/>
    <w:rsid w:val="095256AB"/>
    <w:rsid w:val="096D5B28"/>
    <w:rsid w:val="09752957"/>
    <w:rsid w:val="099A78ED"/>
    <w:rsid w:val="099F2909"/>
    <w:rsid w:val="09BA3678"/>
    <w:rsid w:val="09BD305F"/>
    <w:rsid w:val="09CF2F3C"/>
    <w:rsid w:val="0A1A0AEF"/>
    <w:rsid w:val="0A1B269E"/>
    <w:rsid w:val="0A374EDE"/>
    <w:rsid w:val="0A49597E"/>
    <w:rsid w:val="0A9F5F32"/>
    <w:rsid w:val="0AA408F9"/>
    <w:rsid w:val="0AB04BF1"/>
    <w:rsid w:val="0ABF39D2"/>
    <w:rsid w:val="0AC85041"/>
    <w:rsid w:val="0AE86FB5"/>
    <w:rsid w:val="0AF47C00"/>
    <w:rsid w:val="0B16511A"/>
    <w:rsid w:val="0B1F2364"/>
    <w:rsid w:val="0B2008BD"/>
    <w:rsid w:val="0B2C1745"/>
    <w:rsid w:val="0B4734F5"/>
    <w:rsid w:val="0B4C07EB"/>
    <w:rsid w:val="0B4C493B"/>
    <w:rsid w:val="0B606C2C"/>
    <w:rsid w:val="0B606F71"/>
    <w:rsid w:val="0B6D77D6"/>
    <w:rsid w:val="0B70534E"/>
    <w:rsid w:val="0B71689B"/>
    <w:rsid w:val="0B9D04FA"/>
    <w:rsid w:val="0BC27091"/>
    <w:rsid w:val="0C1814B9"/>
    <w:rsid w:val="0C1C7757"/>
    <w:rsid w:val="0C305AA1"/>
    <w:rsid w:val="0C4E03B9"/>
    <w:rsid w:val="0C6177E3"/>
    <w:rsid w:val="0C69705C"/>
    <w:rsid w:val="0C6A1543"/>
    <w:rsid w:val="0C772D2C"/>
    <w:rsid w:val="0C7C2E00"/>
    <w:rsid w:val="0D223EB6"/>
    <w:rsid w:val="0D2439CB"/>
    <w:rsid w:val="0D3546E2"/>
    <w:rsid w:val="0D645D4C"/>
    <w:rsid w:val="0D743DA7"/>
    <w:rsid w:val="0D7558EC"/>
    <w:rsid w:val="0D7C66C7"/>
    <w:rsid w:val="0D997203"/>
    <w:rsid w:val="0DC16EAC"/>
    <w:rsid w:val="0DCA32BA"/>
    <w:rsid w:val="0DE7433C"/>
    <w:rsid w:val="0E1928C3"/>
    <w:rsid w:val="0E420EBF"/>
    <w:rsid w:val="0E454C7F"/>
    <w:rsid w:val="0E7B4CCD"/>
    <w:rsid w:val="0E7E752E"/>
    <w:rsid w:val="0E884124"/>
    <w:rsid w:val="0E917B50"/>
    <w:rsid w:val="0EA43D25"/>
    <w:rsid w:val="0ECA5ABC"/>
    <w:rsid w:val="0EF71439"/>
    <w:rsid w:val="0F0B28AB"/>
    <w:rsid w:val="0F3971B3"/>
    <w:rsid w:val="0F5144F7"/>
    <w:rsid w:val="0FBB2DB4"/>
    <w:rsid w:val="0FE53E31"/>
    <w:rsid w:val="0FF05EEA"/>
    <w:rsid w:val="1046073E"/>
    <w:rsid w:val="10693C87"/>
    <w:rsid w:val="10711524"/>
    <w:rsid w:val="10723602"/>
    <w:rsid w:val="107965CD"/>
    <w:rsid w:val="107A1422"/>
    <w:rsid w:val="109C4AB0"/>
    <w:rsid w:val="10B67E0E"/>
    <w:rsid w:val="10BE40BD"/>
    <w:rsid w:val="10C72120"/>
    <w:rsid w:val="10D4141B"/>
    <w:rsid w:val="11541D4D"/>
    <w:rsid w:val="11555679"/>
    <w:rsid w:val="11583F11"/>
    <w:rsid w:val="116C6887"/>
    <w:rsid w:val="117716E5"/>
    <w:rsid w:val="11921A52"/>
    <w:rsid w:val="11A81917"/>
    <w:rsid w:val="11AD3102"/>
    <w:rsid w:val="11B93A68"/>
    <w:rsid w:val="11C55B38"/>
    <w:rsid w:val="11D16E92"/>
    <w:rsid w:val="11D61BE3"/>
    <w:rsid w:val="120104BE"/>
    <w:rsid w:val="12056AF9"/>
    <w:rsid w:val="123423D5"/>
    <w:rsid w:val="1252555D"/>
    <w:rsid w:val="126B25FC"/>
    <w:rsid w:val="127E746B"/>
    <w:rsid w:val="12A0536B"/>
    <w:rsid w:val="12AA0B04"/>
    <w:rsid w:val="12AE4CFF"/>
    <w:rsid w:val="12AF37F4"/>
    <w:rsid w:val="12C77210"/>
    <w:rsid w:val="12E57D0C"/>
    <w:rsid w:val="12EF6B77"/>
    <w:rsid w:val="12F4221E"/>
    <w:rsid w:val="12F77DF0"/>
    <w:rsid w:val="12FC0582"/>
    <w:rsid w:val="13430791"/>
    <w:rsid w:val="13497BDD"/>
    <w:rsid w:val="13680458"/>
    <w:rsid w:val="136D56CA"/>
    <w:rsid w:val="13A02C26"/>
    <w:rsid w:val="13A30478"/>
    <w:rsid w:val="13B54AF6"/>
    <w:rsid w:val="13BF0F23"/>
    <w:rsid w:val="13CB3822"/>
    <w:rsid w:val="13CC066F"/>
    <w:rsid w:val="13DB7533"/>
    <w:rsid w:val="13EF14B2"/>
    <w:rsid w:val="14182527"/>
    <w:rsid w:val="142208B3"/>
    <w:rsid w:val="144B50E3"/>
    <w:rsid w:val="144C1F09"/>
    <w:rsid w:val="14644192"/>
    <w:rsid w:val="148E4996"/>
    <w:rsid w:val="15014A85"/>
    <w:rsid w:val="1521438C"/>
    <w:rsid w:val="15230114"/>
    <w:rsid w:val="15344F50"/>
    <w:rsid w:val="153B1C44"/>
    <w:rsid w:val="1540129C"/>
    <w:rsid w:val="154E3751"/>
    <w:rsid w:val="157E26B0"/>
    <w:rsid w:val="159051A8"/>
    <w:rsid w:val="15AD647F"/>
    <w:rsid w:val="15BA32B7"/>
    <w:rsid w:val="15DD2DB8"/>
    <w:rsid w:val="15E609D1"/>
    <w:rsid w:val="15E92819"/>
    <w:rsid w:val="15F54F27"/>
    <w:rsid w:val="162F2FFF"/>
    <w:rsid w:val="16475C13"/>
    <w:rsid w:val="16490B61"/>
    <w:rsid w:val="165C6B1F"/>
    <w:rsid w:val="16B71C31"/>
    <w:rsid w:val="16CA5915"/>
    <w:rsid w:val="16CE4C58"/>
    <w:rsid w:val="16F31084"/>
    <w:rsid w:val="17535777"/>
    <w:rsid w:val="1775126C"/>
    <w:rsid w:val="177A6F4C"/>
    <w:rsid w:val="17926AF2"/>
    <w:rsid w:val="17A50601"/>
    <w:rsid w:val="17B22529"/>
    <w:rsid w:val="17B62BAA"/>
    <w:rsid w:val="17C21AB5"/>
    <w:rsid w:val="17C778C8"/>
    <w:rsid w:val="1807459F"/>
    <w:rsid w:val="184108CA"/>
    <w:rsid w:val="18552841"/>
    <w:rsid w:val="185561D9"/>
    <w:rsid w:val="185826E6"/>
    <w:rsid w:val="186C49EB"/>
    <w:rsid w:val="18716444"/>
    <w:rsid w:val="18C07FBB"/>
    <w:rsid w:val="18DE216D"/>
    <w:rsid w:val="18E746F0"/>
    <w:rsid w:val="18FF164B"/>
    <w:rsid w:val="190A17EE"/>
    <w:rsid w:val="190D4D2B"/>
    <w:rsid w:val="195A2E36"/>
    <w:rsid w:val="195F7471"/>
    <w:rsid w:val="198127E6"/>
    <w:rsid w:val="19982929"/>
    <w:rsid w:val="19CD0318"/>
    <w:rsid w:val="19CE079E"/>
    <w:rsid w:val="19EF09E6"/>
    <w:rsid w:val="19F12FB3"/>
    <w:rsid w:val="1A000515"/>
    <w:rsid w:val="1A3F70F6"/>
    <w:rsid w:val="1A6F4705"/>
    <w:rsid w:val="1A710BB3"/>
    <w:rsid w:val="1AA208FE"/>
    <w:rsid w:val="1AAE64EF"/>
    <w:rsid w:val="1AB94DAB"/>
    <w:rsid w:val="1AE05D8E"/>
    <w:rsid w:val="1AEC7543"/>
    <w:rsid w:val="1B147F49"/>
    <w:rsid w:val="1B337B8B"/>
    <w:rsid w:val="1B7660A0"/>
    <w:rsid w:val="1B78646E"/>
    <w:rsid w:val="1B831DC4"/>
    <w:rsid w:val="1BAD04B6"/>
    <w:rsid w:val="1BB2339D"/>
    <w:rsid w:val="1BC44527"/>
    <w:rsid w:val="1BF83AAE"/>
    <w:rsid w:val="1C2F2050"/>
    <w:rsid w:val="1C4E180B"/>
    <w:rsid w:val="1C615542"/>
    <w:rsid w:val="1C9D58ED"/>
    <w:rsid w:val="1CC6520E"/>
    <w:rsid w:val="1CF812AF"/>
    <w:rsid w:val="1D0E5356"/>
    <w:rsid w:val="1D4E74FE"/>
    <w:rsid w:val="1D9651EF"/>
    <w:rsid w:val="1DA1646E"/>
    <w:rsid w:val="1DB73F82"/>
    <w:rsid w:val="1DE40CDE"/>
    <w:rsid w:val="1DF04E30"/>
    <w:rsid w:val="1E03720A"/>
    <w:rsid w:val="1E1D69E3"/>
    <w:rsid w:val="1E2579C9"/>
    <w:rsid w:val="1E59377F"/>
    <w:rsid w:val="1E666930"/>
    <w:rsid w:val="1E7A053A"/>
    <w:rsid w:val="1E8125C4"/>
    <w:rsid w:val="1E83139E"/>
    <w:rsid w:val="1EA3489A"/>
    <w:rsid w:val="1EC36481"/>
    <w:rsid w:val="1F0A7AF7"/>
    <w:rsid w:val="1F3A3212"/>
    <w:rsid w:val="1F4941A0"/>
    <w:rsid w:val="1F5B0640"/>
    <w:rsid w:val="1F867006"/>
    <w:rsid w:val="1F954C4B"/>
    <w:rsid w:val="1FAD4D8A"/>
    <w:rsid w:val="1FB60629"/>
    <w:rsid w:val="1FDD58EE"/>
    <w:rsid w:val="1FF1198E"/>
    <w:rsid w:val="204E5AF2"/>
    <w:rsid w:val="205C7E34"/>
    <w:rsid w:val="206D7C9D"/>
    <w:rsid w:val="209C7568"/>
    <w:rsid w:val="20A32E28"/>
    <w:rsid w:val="210E58A3"/>
    <w:rsid w:val="21401FF6"/>
    <w:rsid w:val="21535205"/>
    <w:rsid w:val="215874A3"/>
    <w:rsid w:val="217B1995"/>
    <w:rsid w:val="218F2179"/>
    <w:rsid w:val="21A81D06"/>
    <w:rsid w:val="21EE1F3B"/>
    <w:rsid w:val="221B4B9A"/>
    <w:rsid w:val="22496F48"/>
    <w:rsid w:val="22A64A35"/>
    <w:rsid w:val="22C71BAB"/>
    <w:rsid w:val="22CF6190"/>
    <w:rsid w:val="22E15921"/>
    <w:rsid w:val="23363D9D"/>
    <w:rsid w:val="2341453B"/>
    <w:rsid w:val="23875229"/>
    <w:rsid w:val="238D04C2"/>
    <w:rsid w:val="239047AD"/>
    <w:rsid w:val="23E9148E"/>
    <w:rsid w:val="23FD1F32"/>
    <w:rsid w:val="2404634F"/>
    <w:rsid w:val="241876D4"/>
    <w:rsid w:val="24284C43"/>
    <w:rsid w:val="24297319"/>
    <w:rsid w:val="24474D3E"/>
    <w:rsid w:val="24550976"/>
    <w:rsid w:val="245A2F68"/>
    <w:rsid w:val="24692457"/>
    <w:rsid w:val="24860434"/>
    <w:rsid w:val="248B30A4"/>
    <w:rsid w:val="24A80DE8"/>
    <w:rsid w:val="24F05D3F"/>
    <w:rsid w:val="25336550"/>
    <w:rsid w:val="25536F67"/>
    <w:rsid w:val="259C376D"/>
    <w:rsid w:val="25A419B7"/>
    <w:rsid w:val="25A425EF"/>
    <w:rsid w:val="25A761F1"/>
    <w:rsid w:val="25B14D79"/>
    <w:rsid w:val="25B3165D"/>
    <w:rsid w:val="25B55F33"/>
    <w:rsid w:val="25DA76C3"/>
    <w:rsid w:val="25F86312"/>
    <w:rsid w:val="2608662C"/>
    <w:rsid w:val="26205A06"/>
    <w:rsid w:val="262564E4"/>
    <w:rsid w:val="266F4285"/>
    <w:rsid w:val="268729B0"/>
    <w:rsid w:val="269F5C5A"/>
    <w:rsid w:val="26BA4623"/>
    <w:rsid w:val="26D64A4A"/>
    <w:rsid w:val="276F46AD"/>
    <w:rsid w:val="27910129"/>
    <w:rsid w:val="27D27DFC"/>
    <w:rsid w:val="27D632E0"/>
    <w:rsid w:val="27E154F8"/>
    <w:rsid w:val="27FA3F49"/>
    <w:rsid w:val="281D7CD3"/>
    <w:rsid w:val="281E408D"/>
    <w:rsid w:val="284926EA"/>
    <w:rsid w:val="28545E2E"/>
    <w:rsid w:val="2857228D"/>
    <w:rsid w:val="2865285F"/>
    <w:rsid w:val="286E42EB"/>
    <w:rsid w:val="2876438A"/>
    <w:rsid w:val="288966AE"/>
    <w:rsid w:val="28972D66"/>
    <w:rsid w:val="28A6386E"/>
    <w:rsid w:val="28C10D88"/>
    <w:rsid w:val="28CF4EF9"/>
    <w:rsid w:val="28DF3AFD"/>
    <w:rsid w:val="28E07BA2"/>
    <w:rsid w:val="28F55CC1"/>
    <w:rsid w:val="29092BAA"/>
    <w:rsid w:val="29270F87"/>
    <w:rsid w:val="29342FAF"/>
    <w:rsid w:val="29696539"/>
    <w:rsid w:val="296C2DE5"/>
    <w:rsid w:val="29722537"/>
    <w:rsid w:val="29A13C84"/>
    <w:rsid w:val="29C5485C"/>
    <w:rsid w:val="29D30D2B"/>
    <w:rsid w:val="2A150E3F"/>
    <w:rsid w:val="2A3518BD"/>
    <w:rsid w:val="2A3A466D"/>
    <w:rsid w:val="2A3D5B26"/>
    <w:rsid w:val="2A4F740F"/>
    <w:rsid w:val="2A5E01A8"/>
    <w:rsid w:val="2A8F36AC"/>
    <w:rsid w:val="2AC600BF"/>
    <w:rsid w:val="2AD12A78"/>
    <w:rsid w:val="2AD64479"/>
    <w:rsid w:val="2AE8337B"/>
    <w:rsid w:val="2AFE28D7"/>
    <w:rsid w:val="2B053178"/>
    <w:rsid w:val="2B1B43D8"/>
    <w:rsid w:val="2B2F69CC"/>
    <w:rsid w:val="2B3736C2"/>
    <w:rsid w:val="2B4F11EE"/>
    <w:rsid w:val="2B997542"/>
    <w:rsid w:val="2BB53006"/>
    <w:rsid w:val="2BBD5E3A"/>
    <w:rsid w:val="2BBF542D"/>
    <w:rsid w:val="2BC44D49"/>
    <w:rsid w:val="2BEB5FEA"/>
    <w:rsid w:val="2BF70401"/>
    <w:rsid w:val="2BFD4384"/>
    <w:rsid w:val="2C147407"/>
    <w:rsid w:val="2C720AE8"/>
    <w:rsid w:val="2C937EE3"/>
    <w:rsid w:val="2CA769B2"/>
    <w:rsid w:val="2CCA76CB"/>
    <w:rsid w:val="2CCC5885"/>
    <w:rsid w:val="2CEA179B"/>
    <w:rsid w:val="2CF21EBD"/>
    <w:rsid w:val="2CFF72AA"/>
    <w:rsid w:val="2D161030"/>
    <w:rsid w:val="2D3D0577"/>
    <w:rsid w:val="2D622A5D"/>
    <w:rsid w:val="2D681F48"/>
    <w:rsid w:val="2D8823A6"/>
    <w:rsid w:val="2DA74519"/>
    <w:rsid w:val="2DF14AC0"/>
    <w:rsid w:val="2DFC71A7"/>
    <w:rsid w:val="2E0B70CD"/>
    <w:rsid w:val="2E10331E"/>
    <w:rsid w:val="2E1268ED"/>
    <w:rsid w:val="2E195B7B"/>
    <w:rsid w:val="2E473050"/>
    <w:rsid w:val="2E9243B5"/>
    <w:rsid w:val="2E9521E9"/>
    <w:rsid w:val="2E9D730D"/>
    <w:rsid w:val="2EBC74F4"/>
    <w:rsid w:val="2EC10DAE"/>
    <w:rsid w:val="2F455DAB"/>
    <w:rsid w:val="2F4F4231"/>
    <w:rsid w:val="2F743F7C"/>
    <w:rsid w:val="2FBD27F0"/>
    <w:rsid w:val="2FCE1D61"/>
    <w:rsid w:val="2FDB3700"/>
    <w:rsid w:val="2FDB4BEA"/>
    <w:rsid w:val="2FDF38F2"/>
    <w:rsid w:val="30184710"/>
    <w:rsid w:val="302F5220"/>
    <w:rsid w:val="305413BE"/>
    <w:rsid w:val="305F308A"/>
    <w:rsid w:val="307A191D"/>
    <w:rsid w:val="307A456E"/>
    <w:rsid w:val="30A62F22"/>
    <w:rsid w:val="30AC46AE"/>
    <w:rsid w:val="30EF2B23"/>
    <w:rsid w:val="310349C1"/>
    <w:rsid w:val="31051AA9"/>
    <w:rsid w:val="31344EDD"/>
    <w:rsid w:val="314936DD"/>
    <w:rsid w:val="31636818"/>
    <w:rsid w:val="317C0525"/>
    <w:rsid w:val="31BB51CD"/>
    <w:rsid w:val="31D44F14"/>
    <w:rsid w:val="31FB758F"/>
    <w:rsid w:val="32217DE8"/>
    <w:rsid w:val="324D6877"/>
    <w:rsid w:val="32674A35"/>
    <w:rsid w:val="32823552"/>
    <w:rsid w:val="32831A80"/>
    <w:rsid w:val="32C71D27"/>
    <w:rsid w:val="32D124DC"/>
    <w:rsid w:val="32F02F3F"/>
    <w:rsid w:val="32F1173B"/>
    <w:rsid w:val="335E7AFC"/>
    <w:rsid w:val="3370661D"/>
    <w:rsid w:val="33C3785C"/>
    <w:rsid w:val="33ED0BAF"/>
    <w:rsid w:val="33EF4D6B"/>
    <w:rsid w:val="33FD6053"/>
    <w:rsid w:val="343A7F23"/>
    <w:rsid w:val="344722E3"/>
    <w:rsid w:val="34493262"/>
    <w:rsid w:val="34532D3A"/>
    <w:rsid w:val="34590033"/>
    <w:rsid w:val="34636499"/>
    <w:rsid w:val="348653B1"/>
    <w:rsid w:val="34971FC3"/>
    <w:rsid w:val="34A30D4C"/>
    <w:rsid w:val="34BA168F"/>
    <w:rsid w:val="34CB0D06"/>
    <w:rsid w:val="34CC5108"/>
    <w:rsid w:val="34F619B8"/>
    <w:rsid w:val="35025873"/>
    <w:rsid w:val="35217CED"/>
    <w:rsid w:val="355A356B"/>
    <w:rsid w:val="357F0ADA"/>
    <w:rsid w:val="35EC58DE"/>
    <w:rsid w:val="35FA537B"/>
    <w:rsid w:val="36257D92"/>
    <w:rsid w:val="36273E62"/>
    <w:rsid w:val="363B7622"/>
    <w:rsid w:val="364F0364"/>
    <w:rsid w:val="368E098A"/>
    <w:rsid w:val="3690617A"/>
    <w:rsid w:val="36B468FD"/>
    <w:rsid w:val="36DE3DA3"/>
    <w:rsid w:val="36DF33DC"/>
    <w:rsid w:val="36E554B2"/>
    <w:rsid w:val="3725558C"/>
    <w:rsid w:val="373762D9"/>
    <w:rsid w:val="373A13A7"/>
    <w:rsid w:val="377A1742"/>
    <w:rsid w:val="37906552"/>
    <w:rsid w:val="37B70881"/>
    <w:rsid w:val="37C525D8"/>
    <w:rsid w:val="37CE51EC"/>
    <w:rsid w:val="37D506C6"/>
    <w:rsid w:val="38030E16"/>
    <w:rsid w:val="38106589"/>
    <w:rsid w:val="381C45F9"/>
    <w:rsid w:val="38513F1F"/>
    <w:rsid w:val="38662CBF"/>
    <w:rsid w:val="38955D2C"/>
    <w:rsid w:val="38D61113"/>
    <w:rsid w:val="38FF7BC0"/>
    <w:rsid w:val="39035365"/>
    <w:rsid w:val="390D00B6"/>
    <w:rsid w:val="391475A2"/>
    <w:rsid w:val="391A31A3"/>
    <w:rsid w:val="393A32FD"/>
    <w:rsid w:val="395F172D"/>
    <w:rsid w:val="3976384F"/>
    <w:rsid w:val="39BF4224"/>
    <w:rsid w:val="39FA2259"/>
    <w:rsid w:val="3A182EB5"/>
    <w:rsid w:val="3A203622"/>
    <w:rsid w:val="3A2156EF"/>
    <w:rsid w:val="3A6720FC"/>
    <w:rsid w:val="3A9D60F8"/>
    <w:rsid w:val="3AF86A9E"/>
    <w:rsid w:val="3B157E89"/>
    <w:rsid w:val="3B295388"/>
    <w:rsid w:val="3B2C1889"/>
    <w:rsid w:val="3C1A47AF"/>
    <w:rsid w:val="3C60560C"/>
    <w:rsid w:val="3C7C5C69"/>
    <w:rsid w:val="3C82492C"/>
    <w:rsid w:val="3C8F7961"/>
    <w:rsid w:val="3CCF7576"/>
    <w:rsid w:val="3CDF6509"/>
    <w:rsid w:val="3CE70048"/>
    <w:rsid w:val="3CEA4A2C"/>
    <w:rsid w:val="3CF62423"/>
    <w:rsid w:val="3D487CDE"/>
    <w:rsid w:val="3D815BD8"/>
    <w:rsid w:val="3DB45600"/>
    <w:rsid w:val="3DC512E0"/>
    <w:rsid w:val="3DD96AB4"/>
    <w:rsid w:val="3DF63C5A"/>
    <w:rsid w:val="3E546918"/>
    <w:rsid w:val="3E630CF4"/>
    <w:rsid w:val="3E726E60"/>
    <w:rsid w:val="3E751CD1"/>
    <w:rsid w:val="3E7C7221"/>
    <w:rsid w:val="3EE62529"/>
    <w:rsid w:val="3EEE569F"/>
    <w:rsid w:val="3EF605F2"/>
    <w:rsid w:val="3F0652E0"/>
    <w:rsid w:val="3F1600C7"/>
    <w:rsid w:val="3F242B34"/>
    <w:rsid w:val="3F2D5BBD"/>
    <w:rsid w:val="3FB56EBB"/>
    <w:rsid w:val="3FD060C1"/>
    <w:rsid w:val="3FD57EA0"/>
    <w:rsid w:val="3FE064D7"/>
    <w:rsid w:val="3FE810C3"/>
    <w:rsid w:val="3FF1760E"/>
    <w:rsid w:val="3FF35D47"/>
    <w:rsid w:val="3FF45FAB"/>
    <w:rsid w:val="3FFE5895"/>
    <w:rsid w:val="400E682A"/>
    <w:rsid w:val="40411084"/>
    <w:rsid w:val="404605E0"/>
    <w:rsid w:val="404D0D0F"/>
    <w:rsid w:val="40501548"/>
    <w:rsid w:val="405E6E9E"/>
    <w:rsid w:val="4070312E"/>
    <w:rsid w:val="40872D16"/>
    <w:rsid w:val="40A27B2D"/>
    <w:rsid w:val="40B8096E"/>
    <w:rsid w:val="40CB075D"/>
    <w:rsid w:val="40D1419D"/>
    <w:rsid w:val="40E73051"/>
    <w:rsid w:val="40EE5B98"/>
    <w:rsid w:val="40FC6DAB"/>
    <w:rsid w:val="41016840"/>
    <w:rsid w:val="4126191D"/>
    <w:rsid w:val="41570CAC"/>
    <w:rsid w:val="415D7508"/>
    <w:rsid w:val="41915E7F"/>
    <w:rsid w:val="41A37164"/>
    <w:rsid w:val="41A658D5"/>
    <w:rsid w:val="41CC53D8"/>
    <w:rsid w:val="41FB0254"/>
    <w:rsid w:val="4222380F"/>
    <w:rsid w:val="423D7B69"/>
    <w:rsid w:val="42452C5A"/>
    <w:rsid w:val="426C4D56"/>
    <w:rsid w:val="42EA47CA"/>
    <w:rsid w:val="43127266"/>
    <w:rsid w:val="433B36A9"/>
    <w:rsid w:val="434649F0"/>
    <w:rsid w:val="434F7D15"/>
    <w:rsid w:val="43647D78"/>
    <w:rsid w:val="437B1567"/>
    <w:rsid w:val="43891561"/>
    <w:rsid w:val="43925BCA"/>
    <w:rsid w:val="43BC01D6"/>
    <w:rsid w:val="43DA5249"/>
    <w:rsid w:val="43F12FDF"/>
    <w:rsid w:val="43F17DAD"/>
    <w:rsid w:val="43FA1CBB"/>
    <w:rsid w:val="44126AEA"/>
    <w:rsid w:val="442F0B03"/>
    <w:rsid w:val="44321FCD"/>
    <w:rsid w:val="443379D1"/>
    <w:rsid w:val="445A1B54"/>
    <w:rsid w:val="445D3657"/>
    <w:rsid w:val="446A13FC"/>
    <w:rsid w:val="44875BBA"/>
    <w:rsid w:val="44B3126D"/>
    <w:rsid w:val="44BE3A0C"/>
    <w:rsid w:val="450620E0"/>
    <w:rsid w:val="450F16DF"/>
    <w:rsid w:val="4539421B"/>
    <w:rsid w:val="456B6299"/>
    <w:rsid w:val="4578777B"/>
    <w:rsid w:val="4586753C"/>
    <w:rsid w:val="45A6028F"/>
    <w:rsid w:val="45CA052C"/>
    <w:rsid w:val="45D80A94"/>
    <w:rsid w:val="45DF541C"/>
    <w:rsid w:val="45EC323A"/>
    <w:rsid w:val="46276455"/>
    <w:rsid w:val="463D7786"/>
    <w:rsid w:val="465B3D0C"/>
    <w:rsid w:val="467E23D3"/>
    <w:rsid w:val="46A71EBA"/>
    <w:rsid w:val="46A92AD2"/>
    <w:rsid w:val="46CA00A1"/>
    <w:rsid w:val="46D923E6"/>
    <w:rsid w:val="471C6F71"/>
    <w:rsid w:val="476E0F5D"/>
    <w:rsid w:val="4782415A"/>
    <w:rsid w:val="47A93BCF"/>
    <w:rsid w:val="47C12283"/>
    <w:rsid w:val="47D06CBE"/>
    <w:rsid w:val="47FC4A80"/>
    <w:rsid w:val="481B3A29"/>
    <w:rsid w:val="484F0B16"/>
    <w:rsid w:val="485572E2"/>
    <w:rsid w:val="488C02E1"/>
    <w:rsid w:val="489B6412"/>
    <w:rsid w:val="489F4F4C"/>
    <w:rsid w:val="48A032A2"/>
    <w:rsid w:val="48B22781"/>
    <w:rsid w:val="48C00FB2"/>
    <w:rsid w:val="48FD47B3"/>
    <w:rsid w:val="490F520C"/>
    <w:rsid w:val="49295CD2"/>
    <w:rsid w:val="493B2710"/>
    <w:rsid w:val="49825834"/>
    <w:rsid w:val="49FB0909"/>
    <w:rsid w:val="4A0F1D24"/>
    <w:rsid w:val="4A2404B9"/>
    <w:rsid w:val="4A3C4E32"/>
    <w:rsid w:val="4A644061"/>
    <w:rsid w:val="4A726243"/>
    <w:rsid w:val="4A9144C3"/>
    <w:rsid w:val="4A9A3EB1"/>
    <w:rsid w:val="4AAD21E4"/>
    <w:rsid w:val="4B0728F1"/>
    <w:rsid w:val="4B9E5988"/>
    <w:rsid w:val="4BD8433A"/>
    <w:rsid w:val="4BDB2E9E"/>
    <w:rsid w:val="4BE2758F"/>
    <w:rsid w:val="4BED2079"/>
    <w:rsid w:val="4BF355E3"/>
    <w:rsid w:val="4C230D57"/>
    <w:rsid w:val="4C3119C1"/>
    <w:rsid w:val="4C372E12"/>
    <w:rsid w:val="4CBE482A"/>
    <w:rsid w:val="4CDA73F3"/>
    <w:rsid w:val="4CDB2E61"/>
    <w:rsid w:val="4CE5710F"/>
    <w:rsid w:val="4CEF119D"/>
    <w:rsid w:val="4CF41BE8"/>
    <w:rsid w:val="4CFE3BE2"/>
    <w:rsid w:val="4D2D2743"/>
    <w:rsid w:val="4D405A25"/>
    <w:rsid w:val="4D523FF7"/>
    <w:rsid w:val="4D6668ED"/>
    <w:rsid w:val="4D871527"/>
    <w:rsid w:val="4D8C3CB3"/>
    <w:rsid w:val="4DAC4FB3"/>
    <w:rsid w:val="4DBB5470"/>
    <w:rsid w:val="4DDE0FDE"/>
    <w:rsid w:val="4E234B59"/>
    <w:rsid w:val="4E3C57AE"/>
    <w:rsid w:val="4E503E90"/>
    <w:rsid w:val="4EC6375D"/>
    <w:rsid w:val="4EC77C82"/>
    <w:rsid w:val="4EDF322B"/>
    <w:rsid w:val="4EFD599C"/>
    <w:rsid w:val="4F0D6289"/>
    <w:rsid w:val="4F1D3F59"/>
    <w:rsid w:val="4F371AB2"/>
    <w:rsid w:val="4F4B6EB7"/>
    <w:rsid w:val="4F537F58"/>
    <w:rsid w:val="4F6831CE"/>
    <w:rsid w:val="4F6D4A08"/>
    <w:rsid w:val="4F75640C"/>
    <w:rsid w:val="4F8158F2"/>
    <w:rsid w:val="4FAD7652"/>
    <w:rsid w:val="4FD9764F"/>
    <w:rsid w:val="50076701"/>
    <w:rsid w:val="501A37FD"/>
    <w:rsid w:val="50311838"/>
    <w:rsid w:val="50361868"/>
    <w:rsid w:val="50531F3F"/>
    <w:rsid w:val="508358DD"/>
    <w:rsid w:val="50845E6C"/>
    <w:rsid w:val="50887728"/>
    <w:rsid w:val="50B31972"/>
    <w:rsid w:val="50B443F8"/>
    <w:rsid w:val="50B5607A"/>
    <w:rsid w:val="50C11B24"/>
    <w:rsid w:val="511240D7"/>
    <w:rsid w:val="512939C8"/>
    <w:rsid w:val="514C3F39"/>
    <w:rsid w:val="51533278"/>
    <w:rsid w:val="515F5780"/>
    <w:rsid w:val="515F6EAC"/>
    <w:rsid w:val="517D0E96"/>
    <w:rsid w:val="518D1E20"/>
    <w:rsid w:val="519B5E81"/>
    <w:rsid w:val="51E86F3B"/>
    <w:rsid w:val="51FF257B"/>
    <w:rsid w:val="52022C75"/>
    <w:rsid w:val="52067F27"/>
    <w:rsid w:val="520B0D7B"/>
    <w:rsid w:val="52101494"/>
    <w:rsid w:val="521527BB"/>
    <w:rsid w:val="527903F1"/>
    <w:rsid w:val="52A7133D"/>
    <w:rsid w:val="52AB74E8"/>
    <w:rsid w:val="52D852EE"/>
    <w:rsid w:val="532A0BBA"/>
    <w:rsid w:val="536862D9"/>
    <w:rsid w:val="5373795A"/>
    <w:rsid w:val="5394098D"/>
    <w:rsid w:val="539D5D44"/>
    <w:rsid w:val="53AB2CE1"/>
    <w:rsid w:val="53B01D00"/>
    <w:rsid w:val="53C95B08"/>
    <w:rsid w:val="53CB67C6"/>
    <w:rsid w:val="53D44A45"/>
    <w:rsid w:val="53DD5C53"/>
    <w:rsid w:val="53F97642"/>
    <w:rsid w:val="53FB7B09"/>
    <w:rsid w:val="541A6361"/>
    <w:rsid w:val="54382D8E"/>
    <w:rsid w:val="545B3700"/>
    <w:rsid w:val="54693368"/>
    <w:rsid w:val="547E0386"/>
    <w:rsid w:val="5482287C"/>
    <w:rsid w:val="548855B2"/>
    <w:rsid w:val="548C3AC9"/>
    <w:rsid w:val="54E71C41"/>
    <w:rsid w:val="54EB6143"/>
    <w:rsid w:val="54EF21E0"/>
    <w:rsid w:val="54F46483"/>
    <w:rsid w:val="550E1E7A"/>
    <w:rsid w:val="552625EA"/>
    <w:rsid w:val="552E1545"/>
    <w:rsid w:val="5544382F"/>
    <w:rsid w:val="55ED12B8"/>
    <w:rsid w:val="560E0433"/>
    <w:rsid w:val="5627580E"/>
    <w:rsid w:val="56552922"/>
    <w:rsid w:val="566F05DF"/>
    <w:rsid w:val="5677162F"/>
    <w:rsid w:val="56A462DA"/>
    <w:rsid w:val="56AD6DCD"/>
    <w:rsid w:val="56B92323"/>
    <w:rsid w:val="56C526DD"/>
    <w:rsid w:val="56D26775"/>
    <w:rsid w:val="56E0594F"/>
    <w:rsid w:val="56E24248"/>
    <w:rsid w:val="56EC0A5F"/>
    <w:rsid w:val="57345E94"/>
    <w:rsid w:val="574A38C2"/>
    <w:rsid w:val="57653DBA"/>
    <w:rsid w:val="579153F1"/>
    <w:rsid w:val="57FD19AE"/>
    <w:rsid w:val="58000FAF"/>
    <w:rsid w:val="58063A66"/>
    <w:rsid w:val="58120A52"/>
    <w:rsid w:val="588617AA"/>
    <w:rsid w:val="58AF6711"/>
    <w:rsid w:val="58BC4AF4"/>
    <w:rsid w:val="58BE4E95"/>
    <w:rsid w:val="58CC4662"/>
    <w:rsid w:val="58D05F6E"/>
    <w:rsid w:val="59151DCD"/>
    <w:rsid w:val="59446868"/>
    <w:rsid w:val="59453EEF"/>
    <w:rsid w:val="59B31584"/>
    <w:rsid w:val="59B97157"/>
    <w:rsid w:val="59DE1C65"/>
    <w:rsid w:val="59F90EF5"/>
    <w:rsid w:val="5A170C4E"/>
    <w:rsid w:val="5A5C698F"/>
    <w:rsid w:val="5A984BF8"/>
    <w:rsid w:val="5B5850A4"/>
    <w:rsid w:val="5B644B86"/>
    <w:rsid w:val="5B774F6C"/>
    <w:rsid w:val="5B7F1C9B"/>
    <w:rsid w:val="5BAE14D2"/>
    <w:rsid w:val="5BF6388D"/>
    <w:rsid w:val="5C025AF0"/>
    <w:rsid w:val="5C150788"/>
    <w:rsid w:val="5C875885"/>
    <w:rsid w:val="5C9C557E"/>
    <w:rsid w:val="5CA579B2"/>
    <w:rsid w:val="5CA6504D"/>
    <w:rsid w:val="5CB65236"/>
    <w:rsid w:val="5CDC6C0F"/>
    <w:rsid w:val="5CF83CCF"/>
    <w:rsid w:val="5D02168F"/>
    <w:rsid w:val="5D173119"/>
    <w:rsid w:val="5D5644CB"/>
    <w:rsid w:val="5D571B9F"/>
    <w:rsid w:val="5D62601D"/>
    <w:rsid w:val="5D991F36"/>
    <w:rsid w:val="5DEC2B09"/>
    <w:rsid w:val="5DEC33C9"/>
    <w:rsid w:val="5DFA329D"/>
    <w:rsid w:val="5DFD5064"/>
    <w:rsid w:val="5DFD75B1"/>
    <w:rsid w:val="5E1667E3"/>
    <w:rsid w:val="5E390EA8"/>
    <w:rsid w:val="5E4B3857"/>
    <w:rsid w:val="5E4E3AAB"/>
    <w:rsid w:val="5E536E38"/>
    <w:rsid w:val="5E5A1C46"/>
    <w:rsid w:val="5E7F375D"/>
    <w:rsid w:val="5E7F5994"/>
    <w:rsid w:val="5EA7685E"/>
    <w:rsid w:val="5EC93352"/>
    <w:rsid w:val="5F04770D"/>
    <w:rsid w:val="5F241C26"/>
    <w:rsid w:val="5F27124E"/>
    <w:rsid w:val="5F3B07E1"/>
    <w:rsid w:val="5F453C73"/>
    <w:rsid w:val="5F7E0A26"/>
    <w:rsid w:val="5FDE0521"/>
    <w:rsid w:val="5FDE4FBC"/>
    <w:rsid w:val="5FE15388"/>
    <w:rsid w:val="5FEC5F47"/>
    <w:rsid w:val="60035AA1"/>
    <w:rsid w:val="60271E10"/>
    <w:rsid w:val="60511B4D"/>
    <w:rsid w:val="60550EBB"/>
    <w:rsid w:val="60561405"/>
    <w:rsid w:val="606649F2"/>
    <w:rsid w:val="607843E9"/>
    <w:rsid w:val="60A305B9"/>
    <w:rsid w:val="60BE65F5"/>
    <w:rsid w:val="61272C81"/>
    <w:rsid w:val="61315976"/>
    <w:rsid w:val="61684523"/>
    <w:rsid w:val="616E5A45"/>
    <w:rsid w:val="61C23C8D"/>
    <w:rsid w:val="61EB3912"/>
    <w:rsid w:val="62041A4C"/>
    <w:rsid w:val="621118FA"/>
    <w:rsid w:val="6223308D"/>
    <w:rsid w:val="62326D61"/>
    <w:rsid w:val="6263631B"/>
    <w:rsid w:val="6285312C"/>
    <w:rsid w:val="62C55805"/>
    <w:rsid w:val="62FE01AD"/>
    <w:rsid w:val="631B7B21"/>
    <w:rsid w:val="632659BF"/>
    <w:rsid w:val="634A6018"/>
    <w:rsid w:val="635966FF"/>
    <w:rsid w:val="64170822"/>
    <w:rsid w:val="64253093"/>
    <w:rsid w:val="64323D6E"/>
    <w:rsid w:val="64537413"/>
    <w:rsid w:val="6466276F"/>
    <w:rsid w:val="64717861"/>
    <w:rsid w:val="64981808"/>
    <w:rsid w:val="649B54B8"/>
    <w:rsid w:val="649D7C38"/>
    <w:rsid w:val="64D170F8"/>
    <w:rsid w:val="64E46E8B"/>
    <w:rsid w:val="65017C7D"/>
    <w:rsid w:val="65047583"/>
    <w:rsid w:val="650619A2"/>
    <w:rsid w:val="65063F94"/>
    <w:rsid w:val="654034ED"/>
    <w:rsid w:val="6544188D"/>
    <w:rsid w:val="6558020A"/>
    <w:rsid w:val="6580445D"/>
    <w:rsid w:val="65813DD0"/>
    <w:rsid w:val="659A18B6"/>
    <w:rsid w:val="659A1C61"/>
    <w:rsid w:val="65CA75DC"/>
    <w:rsid w:val="65E26CE1"/>
    <w:rsid w:val="65E32D57"/>
    <w:rsid w:val="6602486D"/>
    <w:rsid w:val="66140F0F"/>
    <w:rsid w:val="66492E0C"/>
    <w:rsid w:val="66546BED"/>
    <w:rsid w:val="665C0CBA"/>
    <w:rsid w:val="665D4BD5"/>
    <w:rsid w:val="66781A45"/>
    <w:rsid w:val="667A755F"/>
    <w:rsid w:val="668E1D74"/>
    <w:rsid w:val="669A45C7"/>
    <w:rsid w:val="669E3A50"/>
    <w:rsid w:val="66AB40C7"/>
    <w:rsid w:val="66E3422F"/>
    <w:rsid w:val="674F3E54"/>
    <w:rsid w:val="67806EF2"/>
    <w:rsid w:val="678B46A4"/>
    <w:rsid w:val="67BA6707"/>
    <w:rsid w:val="67D11E59"/>
    <w:rsid w:val="67D27347"/>
    <w:rsid w:val="67DC33AC"/>
    <w:rsid w:val="67EC38AB"/>
    <w:rsid w:val="67F22E6A"/>
    <w:rsid w:val="6853730A"/>
    <w:rsid w:val="688C6E47"/>
    <w:rsid w:val="689C6295"/>
    <w:rsid w:val="68A83B33"/>
    <w:rsid w:val="68B3048A"/>
    <w:rsid w:val="69021CD2"/>
    <w:rsid w:val="693C5CCF"/>
    <w:rsid w:val="695148F5"/>
    <w:rsid w:val="69585573"/>
    <w:rsid w:val="69D30D57"/>
    <w:rsid w:val="69E07714"/>
    <w:rsid w:val="69ED53D9"/>
    <w:rsid w:val="6A0F10C3"/>
    <w:rsid w:val="6A347CCB"/>
    <w:rsid w:val="6A896D3A"/>
    <w:rsid w:val="6A8A4D4A"/>
    <w:rsid w:val="6A8E4D0D"/>
    <w:rsid w:val="6ABE1842"/>
    <w:rsid w:val="6ABF1867"/>
    <w:rsid w:val="6AC455AD"/>
    <w:rsid w:val="6AF74BF4"/>
    <w:rsid w:val="6B0016D7"/>
    <w:rsid w:val="6B1C2C91"/>
    <w:rsid w:val="6B6A1BAD"/>
    <w:rsid w:val="6B853627"/>
    <w:rsid w:val="6B906DB6"/>
    <w:rsid w:val="6BD06E8D"/>
    <w:rsid w:val="6BEB0FEB"/>
    <w:rsid w:val="6C420D29"/>
    <w:rsid w:val="6C8A40D4"/>
    <w:rsid w:val="6C934CC8"/>
    <w:rsid w:val="6CC96E37"/>
    <w:rsid w:val="6D201A34"/>
    <w:rsid w:val="6D7828AF"/>
    <w:rsid w:val="6D826D04"/>
    <w:rsid w:val="6D960E60"/>
    <w:rsid w:val="6E11230F"/>
    <w:rsid w:val="6E2127F1"/>
    <w:rsid w:val="6E2F3128"/>
    <w:rsid w:val="6E344B40"/>
    <w:rsid w:val="6E8A7B74"/>
    <w:rsid w:val="6E8F7AC9"/>
    <w:rsid w:val="6EA20BFA"/>
    <w:rsid w:val="6EA769A0"/>
    <w:rsid w:val="6ED0639D"/>
    <w:rsid w:val="6ED12937"/>
    <w:rsid w:val="6EEB4C10"/>
    <w:rsid w:val="6EED1521"/>
    <w:rsid w:val="6EEE3B12"/>
    <w:rsid w:val="6F013F52"/>
    <w:rsid w:val="6F277E48"/>
    <w:rsid w:val="6FBF26E3"/>
    <w:rsid w:val="6FBF79BC"/>
    <w:rsid w:val="6FD4315F"/>
    <w:rsid w:val="6FDF1883"/>
    <w:rsid w:val="6FEB73D1"/>
    <w:rsid w:val="7016698D"/>
    <w:rsid w:val="702638ED"/>
    <w:rsid w:val="702A5A86"/>
    <w:rsid w:val="707A1881"/>
    <w:rsid w:val="709C4D8D"/>
    <w:rsid w:val="70C37368"/>
    <w:rsid w:val="71040E46"/>
    <w:rsid w:val="71171A1B"/>
    <w:rsid w:val="714E62B8"/>
    <w:rsid w:val="717529A0"/>
    <w:rsid w:val="71836CB4"/>
    <w:rsid w:val="71C045F0"/>
    <w:rsid w:val="7212345E"/>
    <w:rsid w:val="721C5D13"/>
    <w:rsid w:val="7229176E"/>
    <w:rsid w:val="72544F3F"/>
    <w:rsid w:val="72805EC6"/>
    <w:rsid w:val="72930CCE"/>
    <w:rsid w:val="72963A50"/>
    <w:rsid w:val="72991946"/>
    <w:rsid w:val="72BC0129"/>
    <w:rsid w:val="72BF018C"/>
    <w:rsid w:val="72C252BC"/>
    <w:rsid w:val="72C5797D"/>
    <w:rsid w:val="72C75FEB"/>
    <w:rsid w:val="72EC65FF"/>
    <w:rsid w:val="731216C1"/>
    <w:rsid w:val="731228B2"/>
    <w:rsid w:val="732F6A76"/>
    <w:rsid w:val="73301EC1"/>
    <w:rsid w:val="73344256"/>
    <w:rsid w:val="7335388A"/>
    <w:rsid w:val="734E5A17"/>
    <w:rsid w:val="73522E46"/>
    <w:rsid w:val="73563409"/>
    <w:rsid w:val="73610273"/>
    <w:rsid w:val="73840862"/>
    <w:rsid w:val="738C31DF"/>
    <w:rsid w:val="739B44DD"/>
    <w:rsid w:val="73C42FDF"/>
    <w:rsid w:val="73CE1186"/>
    <w:rsid w:val="74112152"/>
    <w:rsid w:val="7424051E"/>
    <w:rsid w:val="74450618"/>
    <w:rsid w:val="74517E94"/>
    <w:rsid w:val="745F766B"/>
    <w:rsid w:val="74D240AA"/>
    <w:rsid w:val="74E40AC9"/>
    <w:rsid w:val="74FF6178"/>
    <w:rsid w:val="751C2C68"/>
    <w:rsid w:val="752E25B8"/>
    <w:rsid w:val="75971B5F"/>
    <w:rsid w:val="759963A6"/>
    <w:rsid w:val="75A92E8D"/>
    <w:rsid w:val="75BB7546"/>
    <w:rsid w:val="75C1620E"/>
    <w:rsid w:val="76123D50"/>
    <w:rsid w:val="761F5B76"/>
    <w:rsid w:val="762E132F"/>
    <w:rsid w:val="764E434F"/>
    <w:rsid w:val="766B52CA"/>
    <w:rsid w:val="767F704C"/>
    <w:rsid w:val="768B2CE5"/>
    <w:rsid w:val="76975FC7"/>
    <w:rsid w:val="76A4589B"/>
    <w:rsid w:val="76BD4366"/>
    <w:rsid w:val="76C42BC4"/>
    <w:rsid w:val="76C94A3F"/>
    <w:rsid w:val="773A634F"/>
    <w:rsid w:val="775B2CDE"/>
    <w:rsid w:val="777001D6"/>
    <w:rsid w:val="77857473"/>
    <w:rsid w:val="77900594"/>
    <w:rsid w:val="77B47998"/>
    <w:rsid w:val="77B71444"/>
    <w:rsid w:val="77C4737E"/>
    <w:rsid w:val="77DF4843"/>
    <w:rsid w:val="77E53094"/>
    <w:rsid w:val="77EC6C04"/>
    <w:rsid w:val="78081737"/>
    <w:rsid w:val="781068EA"/>
    <w:rsid w:val="781F11A1"/>
    <w:rsid w:val="78200129"/>
    <w:rsid w:val="786F7C3A"/>
    <w:rsid w:val="7875360A"/>
    <w:rsid w:val="787F52DB"/>
    <w:rsid w:val="78887FC5"/>
    <w:rsid w:val="7890529B"/>
    <w:rsid w:val="78AD0CB8"/>
    <w:rsid w:val="79305C6F"/>
    <w:rsid w:val="79462C91"/>
    <w:rsid w:val="794D0A39"/>
    <w:rsid w:val="79540B2E"/>
    <w:rsid w:val="7977711B"/>
    <w:rsid w:val="797E3EA3"/>
    <w:rsid w:val="79A123D1"/>
    <w:rsid w:val="79D422B1"/>
    <w:rsid w:val="7A0635A3"/>
    <w:rsid w:val="7A1A1642"/>
    <w:rsid w:val="7A2F7BF4"/>
    <w:rsid w:val="7A3D5CD4"/>
    <w:rsid w:val="7A645703"/>
    <w:rsid w:val="7A825AA9"/>
    <w:rsid w:val="7AF94BE4"/>
    <w:rsid w:val="7B27750A"/>
    <w:rsid w:val="7B337BB9"/>
    <w:rsid w:val="7B51173E"/>
    <w:rsid w:val="7B6440EE"/>
    <w:rsid w:val="7B6832D1"/>
    <w:rsid w:val="7B6E164A"/>
    <w:rsid w:val="7B7912AA"/>
    <w:rsid w:val="7BDE3E94"/>
    <w:rsid w:val="7BEB734F"/>
    <w:rsid w:val="7BF1388C"/>
    <w:rsid w:val="7C314A05"/>
    <w:rsid w:val="7C344D04"/>
    <w:rsid w:val="7C406421"/>
    <w:rsid w:val="7C48189B"/>
    <w:rsid w:val="7C5946E5"/>
    <w:rsid w:val="7C947813"/>
    <w:rsid w:val="7CE678B7"/>
    <w:rsid w:val="7CF82F13"/>
    <w:rsid w:val="7D0406AA"/>
    <w:rsid w:val="7D057D70"/>
    <w:rsid w:val="7D071357"/>
    <w:rsid w:val="7D45291B"/>
    <w:rsid w:val="7D8B31F0"/>
    <w:rsid w:val="7DCB3FC3"/>
    <w:rsid w:val="7DE76611"/>
    <w:rsid w:val="7E1F0A3E"/>
    <w:rsid w:val="7E28775F"/>
    <w:rsid w:val="7E592FEC"/>
    <w:rsid w:val="7E5D5005"/>
    <w:rsid w:val="7E911815"/>
    <w:rsid w:val="7E9C5D56"/>
    <w:rsid w:val="7EA82498"/>
    <w:rsid w:val="7EF03F0E"/>
    <w:rsid w:val="7F0743AC"/>
    <w:rsid w:val="7F2C5AC9"/>
    <w:rsid w:val="7F3C5D88"/>
    <w:rsid w:val="7F697E6F"/>
    <w:rsid w:val="7F8B6071"/>
    <w:rsid w:val="7F94790B"/>
    <w:rsid w:val="7F9A3928"/>
    <w:rsid w:val="7FAA5474"/>
    <w:rsid w:val="7FED1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2"/>
    <w:qFormat/>
    <w:uiPriority w:val="9"/>
    <w:pPr>
      <w:keepNext/>
      <w:keepLines/>
      <w:spacing w:before="340" w:after="330"/>
      <w:ind w:firstLine="0" w:firstLineChars="0"/>
      <w:jc w:val="center"/>
      <w:outlineLvl w:val="0"/>
    </w:pPr>
    <w:rPr>
      <w:rFonts w:asciiTheme="majorEastAsia" w:hAnsiTheme="majorEastAsia" w:eastAsiaTheme="majorEastAsia"/>
      <w:b/>
      <w:bCs/>
      <w:kern w:val="44"/>
      <w:sz w:val="44"/>
      <w:szCs w:val="44"/>
    </w:rPr>
  </w:style>
  <w:style w:type="paragraph" w:styleId="4">
    <w:name w:val="heading 2"/>
    <w:basedOn w:val="1"/>
    <w:next w:val="1"/>
    <w:link w:val="33"/>
    <w:unhideWhenUsed/>
    <w:qFormat/>
    <w:uiPriority w:val="9"/>
    <w:pPr>
      <w:keepNext/>
      <w:keepLines/>
      <w:spacing w:before="260" w:after="260"/>
      <w:ind w:firstLine="0" w:firstLineChars="0"/>
      <w:jc w:val="center"/>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ind w:firstLine="0" w:firstLineChars="0"/>
      <w:jc w:val="center"/>
      <w:outlineLvl w:val="2"/>
    </w:pPr>
    <w:rPr>
      <w:rFonts w:asciiTheme="majorEastAsia" w:hAnsiTheme="majorEastAsia" w:eastAsiaTheme="majorEastAsia"/>
      <w:b/>
      <w:bCs/>
      <w:sz w:val="28"/>
      <w:szCs w:val="28"/>
    </w:rPr>
  </w:style>
  <w:style w:type="paragraph" w:styleId="6">
    <w:name w:val="heading 4"/>
    <w:basedOn w:val="1"/>
    <w:next w:val="1"/>
    <w:link w:val="35"/>
    <w:unhideWhenUsed/>
    <w:qFormat/>
    <w:uiPriority w:val="9"/>
    <w:pPr>
      <w:keepNext/>
      <w:keepLines/>
      <w:spacing w:before="280" w:after="290"/>
      <w:ind w:firstLine="0" w:firstLineChars="0"/>
      <w:outlineLvl w:val="3"/>
    </w:pPr>
    <w:rPr>
      <w:rFonts w:asciiTheme="minorEastAsia" w:hAnsiTheme="minorEastAsia" w:cstheme="majorBidi"/>
      <w:b/>
      <w:bCs/>
      <w:sz w:val="24"/>
      <w:szCs w:val="24"/>
    </w:rPr>
  </w:style>
  <w:style w:type="paragraph" w:styleId="7">
    <w:name w:val="heading 5"/>
    <w:basedOn w:val="1"/>
    <w:next w:val="1"/>
    <w:link w:val="36"/>
    <w:unhideWhenUsed/>
    <w:qFormat/>
    <w:uiPriority w:val="9"/>
    <w:pPr>
      <w:keepNext/>
      <w:keepLines/>
      <w:spacing w:before="280" w:after="290"/>
      <w:ind w:firstLine="0" w:firstLineChars="0"/>
      <w:outlineLvl w:val="4"/>
    </w:pPr>
    <w:rPr>
      <w:rFonts w:asciiTheme="minorEastAsia" w:hAnsiTheme="minorEastAsia"/>
      <w:b/>
      <w:bCs/>
      <w:szCs w:val="21"/>
    </w:rPr>
  </w:style>
  <w:style w:type="character" w:default="1" w:styleId="28">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8">
    <w:name w:val="toc 7"/>
    <w:basedOn w:val="1"/>
    <w:next w:val="1"/>
    <w:unhideWhenUsed/>
    <w:qFormat/>
    <w:uiPriority w:val="39"/>
    <w:pPr>
      <w:ind w:left="2520" w:leftChars="1200" w:firstLine="0" w:firstLineChars="0"/>
    </w:pPr>
  </w:style>
  <w:style w:type="paragraph" w:styleId="9">
    <w:name w:val="Normal Indent"/>
    <w:basedOn w:val="1"/>
    <w:qFormat/>
    <w:uiPriority w:val="0"/>
    <w:rPr>
      <w:b/>
      <w:sz w:val="24"/>
      <w:szCs w:val="20"/>
    </w:rPr>
  </w:style>
  <w:style w:type="paragraph" w:styleId="10">
    <w:name w:val="Document Map"/>
    <w:basedOn w:val="1"/>
    <w:link w:val="59"/>
    <w:semiHidden/>
    <w:unhideWhenUsed/>
    <w:qFormat/>
    <w:uiPriority w:val="99"/>
    <w:rPr>
      <w:rFonts w:ascii="宋体" w:eastAsia="宋体"/>
      <w:sz w:val="18"/>
      <w:szCs w:val="18"/>
    </w:rPr>
  </w:style>
  <w:style w:type="paragraph" w:styleId="11">
    <w:name w:val="annotation text"/>
    <w:basedOn w:val="1"/>
    <w:semiHidden/>
    <w:unhideWhenUsed/>
    <w:qFormat/>
    <w:uiPriority w:val="99"/>
    <w:pPr>
      <w:jc w:val="left"/>
    </w:pPr>
  </w:style>
  <w:style w:type="paragraph" w:styleId="12">
    <w:name w:val="Body Text"/>
    <w:basedOn w:val="1"/>
    <w:qFormat/>
    <w:uiPriority w:val="1"/>
    <w:pPr>
      <w:ind w:left="100" w:firstLine="0" w:firstLineChars="0"/>
      <w:jc w:val="left"/>
    </w:pPr>
    <w:rPr>
      <w:rFonts w:ascii="宋体" w:hAnsi="宋体"/>
      <w:kern w:val="0"/>
      <w:szCs w:val="21"/>
      <w:lang w:eastAsia="en-US"/>
    </w:rPr>
  </w:style>
  <w:style w:type="paragraph" w:styleId="13">
    <w:name w:val="toc 5"/>
    <w:basedOn w:val="1"/>
    <w:next w:val="1"/>
    <w:unhideWhenUsed/>
    <w:qFormat/>
    <w:uiPriority w:val="39"/>
    <w:pPr>
      <w:ind w:left="1680" w:leftChars="800"/>
    </w:pPr>
  </w:style>
  <w:style w:type="paragraph" w:styleId="14">
    <w:name w:val="toc 3"/>
    <w:basedOn w:val="1"/>
    <w:next w:val="1"/>
    <w:unhideWhenUsed/>
    <w:qFormat/>
    <w:uiPriority w:val="39"/>
    <w:pPr>
      <w:ind w:left="840" w:leftChars="400"/>
    </w:pPr>
  </w:style>
  <w:style w:type="paragraph" w:styleId="15">
    <w:name w:val="Plain Text"/>
    <w:basedOn w:val="1"/>
    <w:qFormat/>
    <w:uiPriority w:val="0"/>
    <w:rPr>
      <w:rFonts w:ascii="宋体" w:hAnsi="Courier New"/>
      <w:kern w:val="0"/>
      <w:sz w:val="20"/>
      <w:szCs w:val="21"/>
    </w:rPr>
  </w:style>
  <w:style w:type="paragraph" w:styleId="16">
    <w:name w:val="toc 8"/>
    <w:basedOn w:val="1"/>
    <w:next w:val="1"/>
    <w:unhideWhenUsed/>
    <w:qFormat/>
    <w:uiPriority w:val="39"/>
    <w:pPr>
      <w:ind w:left="2940" w:leftChars="1400" w:firstLine="0" w:firstLineChars="0"/>
    </w:pPr>
  </w:style>
  <w:style w:type="paragraph" w:styleId="17">
    <w:name w:val="Body Text Indent 2"/>
    <w:basedOn w:val="1"/>
    <w:unhideWhenUsed/>
    <w:qFormat/>
    <w:uiPriority w:val="99"/>
    <w:pPr>
      <w:spacing w:after="120" w:line="480" w:lineRule="auto"/>
      <w:ind w:left="420" w:leftChars="200" w:firstLine="0" w:firstLineChars="0"/>
      <w:jc w:val="left"/>
    </w:pPr>
    <w:rPr>
      <w:kern w:val="0"/>
      <w:sz w:val="22"/>
      <w:lang w:eastAsia="en-US"/>
    </w:rPr>
  </w:style>
  <w:style w:type="paragraph" w:styleId="18">
    <w:name w:val="Balloon Text"/>
    <w:basedOn w:val="1"/>
    <w:link w:val="40"/>
    <w:semiHidden/>
    <w:unhideWhenUsed/>
    <w:qFormat/>
    <w:uiPriority w:val="99"/>
    <w:rPr>
      <w:sz w:val="18"/>
      <w:szCs w:val="18"/>
    </w:rPr>
  </w:style>
  <w:style w:type="paragraph" w:styleId="19">
    <w:name w:val="footer"/>
    <w:basedOn w:val="1"/>
    <w:link w:val="38"/>
    <w:unhideWhenUsed/>
    <w:qFormat/>
    <w:uiPriority w:val="99"/>
    <w:pPr>
      <w:tabs>
        <w:tab w:val="center" w:pos="4153"/>
        <w:tab w:val="right" w:pos="8306"/>
      </w:tabs>
      <w:snapToGrid w:val="0"/>
      <w:jc w:val="left"/>
    </w:pPr>
    <w:rPr>
      <w:sz w:val="18"/>
      <w:szCs w:val="18"/>
    </w:rPr>
  </w:style>
  <w:style w:type="paragraph" w:styleId="20">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style>
  <w:style w:type="paragraph" w:styleId="22">
    <w:name w:val="toc 4"/>
    <w:basedOn w:val="1"/>
    <w:next w:val="1"/>
    <w:unhideWhenUsed/>
    <w:qFormat/>
    <w:uiPriority w:val="39"/>
    <w:pPr>
      <w:ind w:left="1260" w:leftChars="600"/>
    </w:pPr>
  </w:style>
  <w:style w:type="paragraph" w:styleId="23">
    <w:name w:val="toc 6"/>
    <w:basedOn w:val="1"/>
    <w:next w:val="1"/>
    <w:unhideWhenUsed/>
    <w:qFormat/>
    <w:uiPriority w:val="39"/>
    <w:pPr>
      <w:ind w:left="2100" w:leftChars="1000" w:firstLine="0" w:firstLineChars="0"/>
    </w:pPr>
  </w:style>
  <w:style w:type="paragraph" w:styleId="24">
    <w:name w:val="toc 2"/>
    <w:basedOn w:val="1"/>
    <w:next w:val="1"/>
    <w:unhideWhenUsed/>
    <w:qFormat/>
    <w:uiPriority w:val="39"/>
    <w:pPr>
      <w:ind w:left="420" w:leftChars="200"/>
    </w:pPr>
  </w:style>
  <w:style w:type="paragraph" w:styleId="25">
    <w:name w:val="toc 9"/>
    <w:basedOn w:val="1"/>
    <w:next w:val="1"/>
    <w:unhideWhenUsed/>
    <w:qFormat/>
    <w:uiPriority w:val="39"/>
    <w:pPr>
      <w:ind w:left="3360" w:leftChars="1600" w:firstLine="0" w:firstLineChars="0"/>
    </w:p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Hyperlink"/>
    <w:basedOn w:val="28"/>
    <w:unhideWhenUsed/>
    <w:qFormat/>
    <w:uiPriority w:val="99"/>
    <w:rPr>
      <w:color w:val="0000FF" w:themeColor="hyperlink"/>
      <w:u w:val="single"/>
    </w:rPr>
  </w:style>
  <w:style w:type="character" w:styleId="30">
    <w:name w:val="annotation reference"/>
    <w:basedOn w:val="28"/>
    <w:semiHidden/>
    <w:unhideWhenUsed/>
    <w:qFormat/>
    <w:uiPriority w:val="99"/>
    <w:rPr>
      <w:sz w:val="21"/>
      <w:szCs w:val="21"/>
    </w:rPr>
  </w:style>
  <w:style w:type="paragraph" w:customStyle="1" w:styleId="31">
    <w:name w:val="Default"/>
    <w:qFormat/>
    <w:uiPriority w:val="0"/>
    <w:pPr>
      <w:autoSpaceDE w:val="0"/>
      <w:autoSpaceDN w:val="0"/>
      <w:adjustRightInd w:val="0"/>
    </w:pPr>
    <w:rPr>
      <w:rFonts w:ascii="宋体" w:hAnsi="Times New Roman" w:eastAsia="宋体" w:cs="Times New Roman"/>
      <w:color w:val="000000"/>
      <w:sz w:val="24"/>
      <w:szCs w:val="24"/>
      <w:lang w:val="en-US" w:eastAsia="en-US" w:bidi="ar-SA"/>
    </w:rPr>
  </w:style>
  <w:style w:type="character" w:customStyle="1" w:styleId="32">
    <w:name w:val="标题 1 Char"/>
    <w:basedOn w:val="28"/>
    <w:link w:val="3"/>
    <w:qFormat/>
    <w:uiPriority w:val="9"/>
    <w:rPr>
      <w:rFonts w:asciiTheme="majorEastAsia" w:hAnsiTheme="majorEastAsia" w:eastAsiaTheme="majorEastAsia"/>
      <w:b/>
      <w:bCs/>
      <w:kern w:val="44"/>
      <w:sz w:val="44"/>
      <w:szCs w:val="44"/>
      <w:lang w:eastAsia="zh-CN"/>
    </w:rPr>
  </w:style>
  <w:style w:type="character" w:customStyle="1" w:styleId="33">
    <w:name w:val="标题 2 Char"/>
    <w:basedOn w:val="28"/>
    <w:link w:val="4"/>
    <w:qFormat/>
    <w:uiPriority w:val="9"/>
    <w:rPr>
      <w:rFonts w:asciiTheme="majorHAnsi" w:hAnsiTheme="majorHAnsi" w:eastAsiaTheme="majorEastAsia" w:cstheme="majorBidi"/>
      <w:b/>
      <w:bCs/>
      <w:sz w:val="32"/>
      <w:szCs w:val="32"/>
      <w:lang w:eastAsia="zh-CN"/>
    </w:rPr>
  </w:style>
  <w:style w:type="character" w:customStyle="1" w:styleId="34">
    <w:name w:val="标题 3 Char"/>
    <w:basedOn w:val="28"/>
    <w:link w:val="5"/>
    <w:qFormat/>
    <w:uiPriority w:val="9"/>
    <w:rPr>
      <w:rFonts w:asciiTheme="majorEastAsia" w:hAnsiTheme="majorEastAsia" w:eastAsiaTheme="majorEastAsia"/>
      <w:b/>
      <w:bCs/>
      <w:sz w:val="28"/>
      <w:szCs w:val="28"/>
      <w:lang w:eastAsia="zh-CN"/>
    </w:rPr>
  </w:style>
  <w:style w:type="character" w:customStyle="1" w:styleId="35">
    <w:name w:val="标题 4 Char"/>
    <w:basedOn w:val="28"/>
    <w:link w:val="6"/>
    <w:qFormat/>
    <w:uiPriority w:val="9"/>
    <w:rPr>
      <w:rFonts w:asciiTheme="minorEastAsia" w:hAnsiTheme="minorEastAsia" w:cstheme="majorBidi"/>
      <w:b/>
      <w:bCs/>
      <w:sz w:val="24"/>
      <w:szCs w:val="24"/>
      <w:lang w:eastAsia="zh-CN"/>
    </w:rPr>
  </w:style>
  <w:style w:type="character" w:customStyle="1" w:styleId="36">
    <w:name w:val="标题 5 Char"/>
    <w:basedOn w:val="28"/>
    <w:link w:val="7"/>
    <w:qFormat/>
    <w:uiPriority w:val="9"/>
    <w:rPr>
      <w:rFonts w:asciiTheme="minorEastAsia" w:hAnsiTheme="minorEastAsia"/>
      <w:b/>
      <w:bCs/>
      <w:szCs w:val="21"/>
      <w:lang w:eastAsia="zh-CN"/>
    </w:rPr>
  </w:style>
  <w:style w:type="character" w:customStyle="1" w:styleId="37">
    <w:name w:val="页眉 Char"/>
    <w:basedOn w:val="28"/>
    <w:link w:val="20"/>
    <w:qFormat/>
    <w:uiPriority w:val="99"/>
    <w:rPr>
      <w:sz w:val="18"/>
      <w:szCs w:val="18"/>
    </w:rPr>
  </w:style>
  <w:style w:type="character" w:customStyle="1" w:styleId="38">
    <w:name w:val="页脚 Char"/>
    <w:basedOn w:val="28"/>
    <w:link w:val="19"/>
    <w:qFormat/>
    <w:uiPriority w:val="99"/>
    <w:rPr>
      <w:sz w:val="18"/>
      <w:szCs w:val="18"/>
    </w:rPr>
  </w:style>
  <w:style w:type="paragraph" w:customStyle="1" w:styleId="39">
    <w:name w:val="TOC 标题1"/>
    <w:basedOn w:val="3"/>
    <w:next w:val="1"/>
    <w:semiHidden/>
    <w:unhideWhenUsed/>
    <w:qFormat/>
    <w:uiPriority w:val="39"/>
    <w:pPr>
      <w:widowControl/>
      <w:spacing w:before="480" w:after="0" w:line="276" w:lineRule="auto"/>
      <w:jc w:val="left"/>
      <w:outlineLvl w:val="9"/>
    </w:pPr>
    <w:rPr>
      <w:rFonts w:asciiTheme="majorHAnsi" w:hAnsiTheme="majorHAnsi" w:cstheme="majorBidi"/>
      <w:color w:val="366091" w:themeColor="accent1" w:themeShade="BF"/>
      <w:kern w:val="0"/>
      <w:sz w:val="28"/>
      <w:szCs w:val="28"/>
    </w:rPr>
  </w:style>
  <w:style w:type="character" w:customStyle="1" w:styleId="40">
    <w:name w:val="批注框文本 Char"/>
    <w:basedOn w:val="28"/>
    <w:link w:val="18"/>
    <w:semiHidden/>
    <w:qFormat/>
    <w:uiPriority w:val="99"/>
    <w:rPr>
      <w:sz w:val="18"/>
      <w:szCs w:val="18"/>
      <w:lang w:eastAsia="zh-CN"/>
    </w:rPr>
  </w:style>
  <w:style w:type="paragraph" w:styleId="41">
    <w:name w:val="List Paragraph"/>
    <w:basedOn w:val="1"/>
    <w:qFormat/>
    <w:uiPriority w:val="99"/>
    <w:pPr>
      <w:ind w:firstLine="0" w:firstLineChars="0"/>
      <w:jc w:val="left"/>
    </w:pPr>
    <w:rPr>
      <w:kern w:val="0"/>
      <w:sz w:val="22"/>
      <w:lang w:eastAsia="en-US"/>
    </w:rPr>
  </w:style>
  <w:style w:type="paragraph" w:customStyle="1" w:styleId="42">
    <w:name w:val="Table Paragraph"/>
    <w:basedOn w:val="1"/>
    <w:qFormat/>
    <w:uiPriority w:val="0"/>
    <w:pPr>
      <w:ind w:firstLine="0" w:firstLineChars="0"/>
      <w:jc w:val="left"/>
    </w:pPr>
    <w:rPr>
      <w:kern w:val="0"/>
      <w:sz w:val="22"/>
      <w:lang w:eastAsia="en-US"/>
    </w:rPr>
  </w:style>
  <w:style w:type="table" w:customStyle="1" w:styleId="43">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styleId="44">
    <w:name w:val="No Spacing"/>
    <w:qFormat/>
    <w:uiPriority w:val="1"/>
    <w:pPr>
      <w:widowControl w:val="0"/>
      <w:jc w:val="both"/>
    </w:pPr>
    <w:rPr>
      <w:rFonts w:eastAsia="宋体" w:asciiTheme="minorHAnsi" w:hAnsiTheme="minorHAnsi" w:cstheme="minorBidi"/>
      <w:kern w:val="2"/>
      <w:sz w:val="28"/>
      <w:szCs w:val="22"/>
      <w:lang w:val="en-US" w:eastAsia="zh-CN" w:bidi="ar-SA"/>
    </w:rPr>
  </w:style>
  <w:style w:type="paragraph" w:customStyle="1" w:styleId="45">
    <w:name w:val="纯文本_0"/>
    <w:basedOn w:val="1"/>
    <w:qFormat/>
    <w:uiPriority w:val="0"/>
    <w:pPr>
      <w:ind w:firstLine="0" w:firstLineChars="0"/>
    </w:pPr>
    <w:rPr>
      <w:rFonts w:ascii="宋体" w:hAnsi="Courier New" w:cs="Times New Roman"/>
      <w:kern w:val="0"/>
      <w:szCs w:val="20"/>
    </w:rPr>
  </w:style>
  <w:style w:type="paragraph" w:customStyle="1" w:styleId="46">
    <w:name w:val="正文_0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7">
    <w:name w:val="font31"/>
    <w:basedOn w:val="28"/>
    <w:qFormat/>
    <w:uiPriority w:val="0"/>
    <w:rPr>
      <w:rFonts w:hint="eastAsia" w:ascii="宋体" w:hAnsi="宋体" w:eastAsia="宋体" w:cs="宋体"/>
      <w:color w:val="000000"/>
      <w:sz w:val="22"/>
      <w:szCs w:val="22"/>
      <w:u w:val="none"/>
    </w:rPr>
  </w:style>
  <w:style w:type="character" w:customStyle="1" w:styleId="48">
    <w:name w:val="font41"/>
    <w:basedOn w:val="28"/>
    <w:qFormat/>
    <w:uiPriority w:val="0"/>
    <w:rPr>
      <w:rFonts w:hint="eastAsia" w:ascii="宋体" w:hAnsi="宋体" w:eastAsia="宋体" w:cs="宋体"/>
      <w:color w:val="000000"/>
      <w:sz w:val="20"/>
      <w:szCs w:val="20"/>
      <w:u w:val="none"/>
    </w:rPr>
  </w:style>
  <w:style w:type="character" w:customStyle="1" w:styleId="49">
    <w:name w:val="font81"/>
    <w:basedOn w:val="28"/>
    <w:qFormat/>
    <w:uiPriority w:val="0"/>
    <w:rPr>
      <w:rFonts w:hint="default" w:ascii="Times New Roman" w:hAnsi="Times New Roman" w:cs="Times New Roman"/>
      <w:color w:val="000000"/>
      <w:sz w:val="20"/>
      <w:szCs w:val="20"/>
      <w:u w:val="none"/>
    </w:rPr>
  </w:style>
  <w:style w:type="character" w:customStyle="1" w:styleId="50">
    <w:name w:val="font61"/>
    <w:basedOn w:val="28"/>
    <w:qFormat/>
    <w:uiPriority w:val="0"/>
    <w:rPr>
      <w:rFonts w:hint="eastAsia" w:ascii="宋体" w:hAnsi="宋体" w:eastAsia="宋体" w:cs="宋体"/>
      <w:color w:val="FF0000"/>
      <w:sz w:val="20"/>
      <w:szCs w:val="20"/>
      <w:u w:val="none"/>
    </w:rPr>
  </w:style>
  <w:style w:type="character" w:customStyle="1" w:styleId="51">
    <w:name w:val="font121"/>
    <w:basedOn w:val="28"/>
    <w:qFormat/>
    <w:uiPriority w:val="0"/>
    <w:rPr>
      <w:rFonts w:hint="default" w:ascii="Times New Roman" w:hAnsi="Times New Roman" w:cs="Times New Roman"/>
      <w:color w:val="FF0000"/>
      <w:sz w:val="20"/>
      <w:szCs w:val="20"/>
      <w:u w:val="none"/>
    </w:rPr>
  </w:style>
  <w:style w:type="character" w:customStyle="1" w:styleId="52">
    <w:name w:val="font21"/>
    <w:basedOn w:val="28"/>
    <w:qFormat/>
    <w:uiPriority w:val="0"/>
    <w:rPr>
      <w:rFonts w:hint="eastAsia" w:ascii="宋体" w:hAnsi="宋体" w:eastAsia="宋体" w:cs="宋体"/>
      <w:color w:val="000000"/>
      <w:sz w:val="20"/>
      <w:szCs w:val="20"/>
      <w:u w:val="none"/>
    </w:rPr>
  </w:style>
  <w:style w:type="paragraph" w:customStyle="1" w:styleId="53">
    <w:name w:val="普通(网站)_0"/>
    <w:basedOn w:val="54"/>
    <w:unhideWhenUsed/>
    <w:qFormat/>
    <w:uiPriority w:val="99"/>
    <w:pPr>
      <w:spacing w:before="100" w:beforeAutospacing="1" w:after="100" w:afterAutospacing="1"/>
      <w:jc w:val="left"/>
    </w:pPr>
  </w:style>
  <w:style w:type="paragraph" w:customStyle="1" w:styleId="54">
    <w:name w:val="正文_1"/>
    <w:qFormat/>
    <w:uiPriority w:val="0"/>
    <w:pPr>
      <w:widowControl w:val="0"/>
      <w:jc w:val="both"/>
    </w:pPr>
    <w:rPr>
      <w:rFonts w:ascii="Times New Roman" w:hAnsi="Times New Roman" w:eastAsia="宋体" w:cs="Times New Roman"/>
      <w:sz w:val="24"/>
      <w:lang w:val="en-US" w:eastAsia="zh-CN" w:bidi="ar-SA"/>
    </w:rPr>
  </w:style>
  <w:style w:type="paragraph" w:customStyle="1" w:styleId="55">
    <w:name w:val="正文360首行缩进"/>
    <w:basedOn w:val="1"/>
    <w:qFormat/>
    <w:uiPriority w:val="0"/>
    <w:pPr>
      <w:widowControl/>
      <w:spacing w:before="120" w:line="300" w:lineRule="auto"/>
      <w:ind w:firstLine="200"/>
      <w:jc w:val="left"/>
    </w:pPr>
    <w:rPr>
      <w:rFonts w:ascii="Times New Roman" w:hAnsi="Times New Roman"/>
      <w:kern w:val="0"/>
      <w:sz w:val="20"/>
      <w:szCs w:val="20"/>
    </w:rPr>
  </w:style>
  <w:style w:type="character" w:customStyle="1" w:styleId="56">
    <w:name w:val="样式 正文缩进 + 首行缩进:  2 字符 Char"/>
    <w:link w:val="57"/>
    <w:qFormat/>
    <w:locked/>
    <w:uiPriority w:val="0"/>
    <w:rPr>
      <w:rFonts w:ascii="宋体" w:hAnsi="宋体" w:cs="宋体"/>
      <w:kern w:val="2"/>
      <w:sz w:val="24"/>
    </w:rPr>
  </w:style>
  <w:style w:type="paragraph" w:customStyle="1" w:styleId="57">
    <w:name w:val="样式 正文缩进 + 首行缩进:  2 字符"/>
    <w:basedOn w:val="9"/>
    <w:link w:val="56"/>
    <w:qFormat/>
    <w:uiPriority w:val="0"/>
    <w:pPr>
      <w:spacing w:line="360" w:lineRule="auto"/>
      <w:ind w:firstLine="200"/>
    </w:pPr>
    <w:rPr>
      <w:rFonts w:ascii="宋体" w:hAnsi="宋体" w:eastAsia="宋体" w:cs="宋体"/>
      <w:b w:val="0"/>
    </w:rPr>
  </w:style>
  <w:style w:type="paragraph" w:customStyle="1" w:styleId="58">
    <w:name w:val="正文_3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9">
    <w:name w:val="文档结构图 Char"/>
    <w:basedOn w:val="28"/>
    <w:link w:val="10"/>
    <w:semiHidden/>
    <w:qFormat/>
    <w:uiPriority w:val="99"/>
    <w:rPr>
      <w:rFonts w:ascii="宋体"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2AEC3B-DD2B-488F-B793-A5E5BBF9B15C}">
  <ds:schemaRefs/>
</ds:datastoreItem>
</file>

<file path=docProps/app.xml><?xml version="1.0" encoding="utf-8"?>
<Properties xmlns="http://schemas.openxmlformats.org/officeDocument/2006/extended-properties" xmlns:vt="http://schemas.openxmlformats.org/officeDocument/2006/docPropsVTypes">
  <Template>Normal</Template>
  <Pages>51</Pages>
  <Words>5189</Words>
  <Characters>29578</Characters>
  <Lines>246</Lines>
  <Paragraphs>69</Paragraphs>
  <TotalTime>1</TotalTime>
  <ScaleCrop>false</ScaleCrop>
  <LinksUpToDate>false</LinksUpToDate>
  <CharactersWithSpaces>34698</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2020-07-22T04:09:00Z</dcterms:created>
  <cp:lastPrinted>2020-07-15T02:08:00Z</cp:lastPrinted>
  <dcterms:modified xsi:type="dcterms:W3CDTF">2020-07-30T07:08:30Z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