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60"/>
          <w:tab w:val="left" w:pos="900"/>
        </w:tabs>
        <w:adjustRightInd w:val="0"/>
        <w:snapToGrid w:val="0"/>
        <w:spacing w:line="360" w:lineRule="auto"/>
        <w:jc w:val="center"/>
        <w:rPr>
          <w:rFonts w:ascii="宋体" w:hAnsi="宋体" w:cs="宋体"/>
          <w:b/>
          <w:sz w:val="24"/>
          <w:szCs w:val="24"/>
        </w:rPr>
      </w:pPr>
    </w:p>
    <w:p>
      <w:pPr>
        <w:adjustRightInd w:val="0"/>
        <w:snapToGrid w:val="0"/>
        <w:spacing w:line="360" w:lineRule="auto"/>
        <w:jc w:val="center"/>
        <w:rPr>
          <w:rFonts w:ascii="宋体" w:hAnsi="宋体" w:cs="宋体"/>
          <w:b/>
          <w:sz w:val="24"/>
          <w:szCs w:val="24"/>
        </w:rPr>
      </w:pPr>
    </w:p>
    <w:p>
      <w:pPr>
        <w:adjustRightInd w:val="0"/>
        <w:snapToGrid w:val="0"/>
        <w:spacing w:line="360" w:lineRule="auto"/>
        <w:jc w:val="center"/>
        <w:rPr>
          <w:rFonts w:ascii="宋体" w:hAnsi="宋体" w:cs="宋体"/>
          <w:b/>
          <w:sz w:val="24"/>
          <w:szCs w:val="24"/>
        </w:rPr>
      </w:pPr>
    </w:p>
    <w:p>
      <w:pPr>
        <w:pStyle w:val="462"/>
        <w:spacing w:before="0" w:after="0"/>
        <w:ind w:firstLine="0"/>
        <w:jc w:val="center"/>
        <w:rPr>
          <w:rFonts w:ascii="宋体" w:hAnsi="宋体"/>
          <w:sz w:val="36"/>
          <w:szCs w:val="36"/>
          <w:lang w:val="zh-CN"/>
        </w:rPr>
      </w:pPr>
      <w:r>
        <w:rPr>
          <w:rFonts w:hint="eastAsia" w:ascii="宋体" w:hAnsi="宋体"/>
          <w:sz w:val="36"/>
          <w:szCs w:val="36"/>
          <w:lang w:val="zh-CN"/>
        </w:rPr>
        <w:t>华侨城梦幻之城售票平台项目</w:t>
      </w:r>
    </w:p>
    <w:p>
      <w:pPr>
        <w:snapToGrid w:val="0"/>
        <w:spacing w:line="360" w:lineRule="auto"/>
        <w:ind w:left="560"/>
        <w:jc w:val="center"/>
        <w:rPr>
          <w:rFonts w:ascii="宋体" w:hAnsi="宋体" w:cs="宋体"/>
          <w:b/>
          <w:kern w:val="0"/>
          <w:sz w:val="56"/>
          <w:szCs w:val="56"/>
        </w:rPr>
      </w:pPr>
      <w:r>
        <w:rPr>
          <w:rFonts w:hint="eastAsia" w:ascii="宋体" w:hAnsi="宋体" w:cs="宋体"/>
          <w:b/>
          <w:kern w:val="0"/>
          <w:sz w:val="56"/>
          <w:szCs w:val="56"/>
        </w:rPr>
        <w:t>招标文件</w:t>
      </w:r>
    </w:p>
    <w:p>
      <w:pPr>
        <w:spacing w:line="360" w:lineRule="auto"/>
        <w:ind w:firstLine="1446" w:firstLineChars="600"/>
        <w:rPr>
          <w:rFonts w:ascii="宋体" w:hAnsi="宋体" w:cs="宋体"/>
          <w:b/>
          <w:bCs/>
          <w:color w:val="0000FF"/>
          <w:sz w:val="24"/>
          <w:szCs w:val="24"/>
          <w:highlight w:val="yellow"/>
          <w:u w:val="single"/>
          <w:lang w:val="zh-CN"/>
        </w:rPr>
      </w:pPr>
    </w:p>
    <w:p>
      <w:pPr>
        <w:autoSpaceDE w:val="0"/>
        <w:autoSpaceDN w:val="0"/>
        <w:adjustRightInd w:val="0"/>
        <w:spacing w:line="360" w:lineRule="auto"/>
        <w:ind w:firstLine="420"/>
        <w:jc w:val="center"/>
        <w:rPr>
          <w:rFonts w:ascii="宋体" w:hAnsi="宋体" w:cs="宋体"/>
          <w:sz w:val="24"/>
          <w:szCs w:val="24"/>
        </w:rPr>
      </w:pPr>
    </w:p>
    <w:p>
      <w:pPr>
        <w:autoSpaceDE w:val="0"/>
        <w:autoSpaceDN w:val="0"/>
        <w:adjustRightInd w:val="0"/>
        <w:spacing w:line="360" w:lineRule="auto"/>
        <w:ind w:firstLine="420"/>
        <w:jc w:val="center"/>
        <w:rPr>
          <w:rFonts w:ascii="宋体" w:hAnsi="宋体" w:cs="宋体"/>
          <w:sz w:val="24"/>
          <w:szCs w:val="24"/>
        </w:rPr>
      </w:pPr>
    </w:p>
    <w:p>
      <w:pPr>
        <w:autoSpaceDE w:val="0"/>
        <w:autoSpaceDN w:val="0"/>
        <w:adjustRightInd w:val="0"/>
        <w:spacing w:line="360" w:lineRule="auto"/>
        <w:ind w:firstLine="420"/>
        <w:jc w:val="center"/>
        <w:rPr>
          <w:rFonts w:ascii="宋体" w:hAnsi="宋体" w:cs="宋体"/>
          <w:sz w:val="24"/>
          <w:szCs w:val="24"/>
        </w:rPr>
      </w:pPr>
    </w:p>
    <w:p>
      <w:pPr>
        <w:autoSpaceDE w:val="0"/>
        <w:autoSpaceDN w:val="0"/>
        <w:adjustRightInd w:val="0"/>
        <w:spacing w:line="360" w:lineRule="auto"/>
        <w:jc w:val="center"/>
        <w:rPr>
          <w:rFonts w:ascii="宋体" w:hAnsi="宋体" w:cs="宋体"/>
          <w:sz w:val="24"/>
          <w:szCs w:val="24"/>
        </w:rPr>
      </w:pPr>
    </w:p>
    <w:p>
      <w:pPr>
        <w:autoSpaceDE w:val="0"/>
        <w:autoSpaceDN w:val="0"/>
        <w:adjustRightInd w:val="0"/>
        <w:spacing w:line="360" w:lineRule="auto"/>
        <w:ind w:firstLine="420"/>
        <w:jc w:val="center"/>
        <w:rPr>
          <w:rFonts w:ascii="宋体" w:hAnsi="宋体" w:cs="宋体"/>
          <w:sz w:val="24"/>
          <w:szCs w:val="24"/>
        </w:rPr>
      </w:pPr>
    </w:p>
    <w:p>
      <w:pPr>
        <w:autoSpaceDE w:val="0"/>
        <w:autoSpaceDN w:val="0"/>
        <w:adjustRightInd w:val="0"/>
        <w:spacing w:line="360" w:lineRule="auto"/>
        <w:ind w:firstLine="420"/>
        <w:jc w:val="center"/>
        <w:rPr>
          <w:rFonts w:ascii="宋体" w:hAnsi="宋体" w:cs="宋体"/>
          <w:sz w:val="24"/>
          <w:szCs w:val="24"/>
        </w:rPr>
      </w:pPr>
    </w:p>
    <w:p>
      <w:pPr>
        <w:autoSpaceDE w:val="0"/>
        <w:autoSpaceDN w:val="0"/>
        <w:adjustRightInd w:val="0"/>
        <w:spacing w:line="360" w:lineRule="auto"/>
        <w:ind w:firstLine="420"/>
        <w:jc w:val="center"/>
        <w:rPr>
          <w:rFonts w:ascii="宋体" w:hAnsi="宋体" w:cs="宋体"/>
          <w:sz w:val="24"/>
          <w:szCs w:val="24"/>
        </w:rPr>
      </w:pPr>
    </w:p>
    <w:p>
      <w:pPr>
        <w:autoSpaceDE w:val="0"/>
        <w:autoSpaceDN w:val="0"/>
        <w:adjustRightInd w:val="0"/>
        <w:spacing w:line="360" w:lineRule="auto"/>
        <w:ind w:firstLine="420"/>
        <w:jc w:val="center"/>
        <w:rPr>
          <w:rFonts w:ascii="宋体" w:hAnsi="宋体" w:cs="宋体"/>
          <w:sz w:val="24"/>
          <w:szCs w:val="24"/>
        </w:rPr>
      </w:pPr>
    </w:p>
    <w:p>
      <w:pPr>
        <w:autoSpaceDE w:val="0"/>
        <w:autoSpaceDN w:val="0"/>
        <w:adjustRightInd w:val="0"/>
        <w:spacing w:line="360" w:lineRule="auto"/>
        <w:ind w:firstLine="420"/>
        <w:jc w:val="center"/>
        <w:rPr>
          <w:rFonts w:ascii="宋体" w:hAnsi="宋体" w:cs="宋体"/>
          <w:sz w:val="24"/>
          <w:szCs w:val="24"/>
        </w:rPr>
      </w:pPr>
    </w:p>
    <w:p>
      <w:pPr>
        <w:autoSpaceDE w:val="0"/>
        <w:autoSpaceDN w:val="0"/>
        <w:adjustRightInd w:val="0"/>
        <w:spacing w:line="360" w:lineRule="auto"/>
        <w:ind w:firstLine="420"/>
        <w:jc w:val="center"/>
        <w:rPr>
          <w:rFonts w:ascii="宋体" w:hAnsi="宋体" w:cs="宋体"/>
          <w:sz w:val="24"/>
          <w:szCs w:val="24"/>
        </w:rPr>
      </w:pPr>
    </w:p>
    <w:p>
      <w:pPr>
        <w:autoSpaceDE w:val="0"/>
        <w:autoSpaceDN w:val="0"/>
        <w:adjustRightInd w:val="0"/>
        <w:spacing w:line="360" w:lineRule="auto"/>
        <w:rPr>
          <w:rFonts w:ascii="宋体" w:hAnsi="宋体" w:cs="宋体"/>
          <w:b/>
          <w:bCs/>
          <w:sz w:val="24"/>
          <w:szCs w:val="24"/>
          <w:lang w:val="zh-CN"/>
        </w:rPr>
      </w:pPr>
    </w:p>
    <w:p>
      <w:pPr>
        <w:snapToGrid w:val="0"/>
        <w:spacing w:line="360" w:lineRule="auto"/>
        <w:ind w:firstLine="1280" w:firstLineChars="400"/>
        <w:rPr>
          <w:rFonts w:ascii="宋体" w:hAnsi="宋体" w:cs="宋体"/>
          <w:kern w:val="0"/>
          <w:sz w:val="32"/>
          <w:szCs w:val="32"/>
        </w:rPr>
      </w:pPr>
      <w:r>
        <w:rPr>
          <w:rFonts w:hint="eastAsia" w:ascii="宋体" w:hAnsi="宋体" w:cs="宋体"/>
          <w:kern w:val="0"/>
          <w:sz w:val="32"/>
          <w:szCs w:val="32"/>
        </w:rPr>
        <w:t>招标人：扬州市民卡有限责任公司</w:t>
      </w:r>
    </w:p>
    <w:p>
      <w:pPr>
        <w:pStyle w:val="330"/>
        <w:snapToGrid w:val="0"/>
        <w:spacing w:line="360" w:lineRule="auto"/>
        <w:rPr>
          <w:rFonts w:hAnsi="宋体" w:cs="宋体"/>
          <w:color w:val="auto"/>
        </w:rPr>
      </w:pPr>
    </w:p>
    <w:p>
      <w:pPr>
        <w:snapToGrid w:val="0"/>
        <w:spacing w:line="360" w:lineRule="auto"/>
        <w:jc w:val="center"/>
        <w:rPr>
          <w:rFonts w:ascii="宋体" w:hAnsi="宋体" w:cs="宋体"/>
          <w:kern w:val="0"/>
          <w:sz w:val="32"/>
          <w:szCs w:val="32"/>
        </w:rPr>
      </w:pPr>
      <w:r>
        <w:rPr>
          <w:rFonts w:hint="eastAsia" w:ascii="宋体" w:hAnsi="宋体" w:cs="宋体"/>
          <w:kern w:val="0"/>
          <w:sz w:val="32"/>
          <w:szCs w:val="32"/>
        </w:rPr>
        <w:t xml:space="preserve">  招标代理机构：扬州市嘉诚造价咨询有限公司</w:t>
      </w:r>
    </w:p>
    <w:p>
      <w:pPr>
        <w:spacing w:line="360" w:lineRule="auto"/>
        <w:jc w:val="center"/>
        <w:rPr>
          <w:rFonts w:ascii="宋体" w:hAnsi="宋体" w:cs="宋体"/>
          <w:b/>
          <w:bCs/>
          <w:color w:val="000000"/>
          <w:w w:val="90"/>
          <w:kern w:val="0"/>
          <w:sz w:val="32"/>
          <w:szCs w:val="32"/>
        </w:rPr>
      </w:pPr>
      <w:bookmarkStart w:id="0" w:name="EB59c3faf64f2a4bd092a206fb1d0c3c03"/>
      <w:r>
        <w:rPr>
          <w:rFonts w:hint="eastAsia" w:ascii="宋体" w:hAnsi="宋体" w:cs="宋体"/>
          <w:b/>
          <w:bCs/>
          <w:color w:val="000000"/>
          <w:w w:val="90"/>
          <w:kern w:val="0"/>
          <w:sz w:val="32"/>
          <w:szCs w:val="32"/>
        </w:rPr>
        <w:t>2021年6月</w:t>
      </w:r>
      <w:r>
        <w:rPr>
          <w:rFonts w:hint="eastAsia" w:ascii="宋体" w:hAnsi="宋体" w:cs="宋体"/>
          <w:b/>
          <w:bCs/>
          <w:color w:val="000000"/>
          <w:w w:val="90"/>
          <w:kern w:val="0"/>
          <w:sz w:val="32"/>
          <w:szCs w:val="32"/>
          <w:lang w:val="en-US" w:eastAsia="zh-CN"/>
        </w:rPr>
        <w:t>18</w:t>
      </w:r>
      <w:r>
        <w:rPr>
          <w:rFonts w:hint="eastAsia" w:ascii="宋体" w:hAnsi="宋体" w:cs="宋体"/>
          <w:b/>
          <w:bCs/>
          <w:color w:val="000000"/>
          <w:w w:val="90"/>
          <w:kern w:val="0"/>
          <w:sz w:val="32"/>
          <w:szCs w:val="32"/>
        </w:rPr>
        <w:t xml:space="preserve"> 日</w:t>
      </w:r>
      <w:bookmarkEnd w:id="0"/>
    </w:p>
    <w:p>
      <w:pPr>
        <w:spacing w:line="360" w:lineRule="auto"/>
        <w:jc w:val="center"/>
        <w:rPr>
          <w:rFonts w:ascii="宋体" w:hAnsi="宋体" w:cs="宋体"/>
          <w:b/>
          <w:spacing w:val="20"/>
          <w:sz w:val="24"/>
          <w:szCs w:val="24"/>
        </w:rPr>
      </w:pPr>
    </w:p>
    <w:p>
      <w:pPr>
        <w:adjustRightInd w:val="0"/>
        <w:snapToGrid w:val="0"/>
        <w:spacing w:line="360" w:lineRule="auto"/>
        <w:ind w:left="-158" w:leftChars="-75"/>
        <w:rPr>
          <w:rFonts w:ascii="宋体" w:hAnsi="宋体" w:cs="宋体"/>
          <w:b/>
          <w:snapToGrid w:val="0"/>
          <w:sz w:val="24"/>
          <w:szCs w:val="24"/>
          <w:u w:val="single"/>
        </w:rPr>
      </w:pPr>
    </w:p>
    <w:p>
      <w:pPr>
        <w:adjustRightInd w:val="0"/>
        <w:snapToGrid w:val="0"/>
        <w:spacing w:line="360" w:lineRule="auto"/>
        <w:ind w:left="-158" w:leftChars="-75" w:right="-601" w:rightChars="-286"/>
        <w:jc w:val="center"/>
        <w:rPr>
          <w:rFonts w:ascii="宋体" w:hAnsi="宋体" w:cs="宋体"/>
          <w:b/>
          <w:bCs/>
          <w:sz w:val="24"/>
          <w:szCs w:val="24"/>
        </w:rPr>
      </w:pPr>
    </w:p>
    <w:p>
      <w:pPr>
        <w:adjustRightInd w:val="0"/>
        <w:snapToGrid w:val="0"/>
        <w:spacing w:line="360" w:lineRule="auto"/>
        <w:ind w:left="-158" w:leftChars="-75" w:right="-601" w:rightChars="-286"/>
        <w:jc w:val="center"/>
        <w:rPr>
          <w:rFonts w:ascii="宋体" w:hAnsi="宋体" w:cs="宋体"/>
          <w:b/>
          <w:bCs/>
          <w:sz w:val="24"/>
          <w:szCs w:val="24"/>
        </w:rPr>
      </w:pPr>
    </w:p>
    <w:p>
      <w:pPr>
        <w:adjustRightInd w:val="0"/>
        <w:snapToGrid w:val="0"/>
        <w:spacing w:line="360" w:lineRule="auto"/>
        <w:ind w:left="-158" w:leftChars="-75" w:right="-601" w:rightChars="-286"/>
        <w:jc w:val="center"/>
        <w:rPr>
          <w:rFonts w:ascii="宋体" w:hAnsi="宋体" w:cs="宋体"/>
          <w:b/>
          <w:bCs/>
          <w:sz w:val="24"/>
          <w:szCs w:val="24"/>
        </w:rPr>
      </w:pPr>
    </w:p>
    <w:p>
      <w:pPr>
        <w:adjustRightInd w:val="0"/>
        <w:snapToGrid w:val="0"/>
        <w:spacing w:line="360" w:lineRule="auto"/>
        <w:ind w:left="-158" w:leftChars="-75" w:right="-601" w:rightChars="-286"/>
        <w:jc w:val="center"/>
        <w:rPr>
          <w:rFonts w:ascii="宋体" w:hAnsi="宋体" w:cs="宋体"/>
          <w:b/>
          <w:bCs/>
          <w:sz w:val="24"/>
          <w:szCs w:val="24"/>
        </w:rPr>
      </w:pPr>
    </w:p>
    <w:p>
      <w:pPr>
        <w:pStyle w:val="54"/>
        <w:spacing w:line="360" w:lineRule="auto"/>
        <w:ind w:firstLine="0"/>
        <w:rPr>
          <w:rFonts w:ascii="宋体" w:hAnsi="宋体" w:eastAsia="宋体" w:cs="宋体"/>
          <w:b/>
          <w:bCs/>
          <w:sz w:val="24"/>
        </w:rPr>
      </w:pPr>
    </w:p>
    <w:p>
      <w:pPr>
        <w:pStyle w:val="54"/>
        <w:spacing w:line="360" w:lineRule="auto"/>
        <w:rPr>
          <w:rFonts w:ascii="宋体" w:hAnsi="宋体" w:eastAsia="宋体" w:cs="宋体"/>
          <w:b/>
          <w:bCs/>
          <w:sz w:val="24"/>
        </w:rPr>
      </w:pPr>
    </w:p>
    <w:sdt>
      <w:sdtPr>
        <w:rPr>
          <w:rFonts w:ascii="宋体" w:hAnsi="宋体" w:eastAsiaTheme="minorEastAsia" w:cstheme="minorBidi"/>
          <w:sz w:val="28"/>
          <w:szCs w:val="24"/>
        </w:rPr>
        <w:id w:val="147451414"/>
        <w15:color w:val="DBDBDB"/>
        <w:docPartObj>
          <w:docPartGallery w:val="Table of Contents"/>
          <w:docPartUnique/>
        </w:docPartObj>
      </w:sdtPr>
      <w:sdtEndPr>
        <w:rPr>
          <w:rFonts w:ascii="宋体" w:hAnsi="宋体" w:cs="宋体" w:eastAsiaTheme="minorEastAsia"/>
          <w:sz w:val="28"/>
          <w:szCs w:val="24"/>
        </w:rPr>
      </w:sdtEndPr>
      <w:sdtContent>
        <w:p>
          <w:pPr>
            <w:spacing w:line="360" w:lineRule="auto"/>
            <w:jc w:val="center"/>
          </w:pPr>
          <w:r>
            <w:rPr>
              <w:rFonts w:ascii="宋体" w:hAnsi="宋体"/>
              <w:sz w:val="32"/>
              <w:szCs w:val="32"/>
            </w:rPr>
            <w:t>目录</w:t>
          </w:r>
        </w:p>
        <w:p>
          <w:pPr>
            <w:pStyle w:val="38"/>
            <w:tabs>
              <w:tab w:val="right" w:leader="dot" w:pos="8640"/>
            </w:tabs>
          </w:pPr>
          <w:r>
            <w:rPr>
              <w:rFonts w:hint="eastAsia" w:ascii="宋体" w:hAnsi="宋体" w:cs="宋体"/>
              <w:sz w:val="24"/>
            </w:rPr>
            <w:fldChar w:fldCharType="begin"/>
          </w:r>
          <w:r>
            <w:rPr>
              <w:rFonts w:hint="eastAsia" w:ascii="宋体" w:hAnsi="宋体" w:cs="宋体"/>
              <w:sz w:val="24"/>
            </w:rPr>
            <w:instrText xml:space="preserve">TOC \o "1-3" \h \u </w:instrText>
          </w:r>
          <w:r>
            <w:rPr>
              <w:rFonts w:hint="eastAsia" w:ascii="宋体" w:hAnsi="宋体" w:cs="宋体"/>
              <w:sz w:val="24"/>
            </w:rPr>
            <w:fldChar w:fldCharType="separate"/>
          </w:r>
          <w:r>
            <w:fldChar w:fldCharType="begin"/>
          </w:r>
          <w:r>
            <w:instrText xml:space="preserve"> HYPERLINK \l "_Toc19329" </w:instrText>
          </w:r>
          <w:r>
            <w:fldChar w:fldCharType="separate"/>
          </w:r>
          <w:r>
            <w:rPr>
              <w:rFonts w:hint="eastAsia" w:ascii="宋体" w:hAnsi="宋体"/>
              <w:snapToGrid w:val="0"/>
              <w:kern w:val="0"/>
              <w:szCs w:val="20"/>
            </w:rPr>
            <w:t>第一章 招标公告</w:t>
          </w:r>
          <w:r>
            <w:tab/>
          </w:r>
          <w:r>
            <w:fldChar w:fldCharType="begin"/>
          </w:r>
          <w:r>
            <w:instrText xml:space="preserve"> PAGEREF _Toc19329 \h </w:instrText>
          </w:r>
          <w:r>
            <w:fldChar w:fldCharType="separate"/>
          </w:r>
          <w:r>
            <w:t>3</w:t>
          </w:r>
          <w:r>
            <w:fldChar w:fldCharType="end"/>
          </w:r>
          <w:r>
            <w:fldChar w:fldCharType="end"/>
          </w:r>
        </w:p>
        <w:p>
          <w:pPr>
            <w:pStyle w:val="38"/>
            <w:tabs>
              <w:tab w:val="right" w:leader="dot" w:pos="8640"/>
            </w:tabs>
          </w:pPr>
          <w:r>
            <w:fldChar w:fldCharType="begin"/>
          </w:r>
          <w:r>
            <w:instrText xml:space="preserve"> HYPERLINK \l "_Toc11792" </w:instrText>
          </w:r>
          <w:r>
            <w:fldChar w:fldCharType="separate"/>
          </w:r>
          <w:r>
            <w:rPr>
              <w:rFonts w:hint="eastAsia" w:ascii="宋体" w:hAnsi="宋体"/>
              <w:snapToGrid w:val="0"/>
              <w:kern w:val="0"/>
              <w:szCs w:val="20"/>
            </w:rPr>
            <w:t>第二章 投标须知</w:t>
          </w:r>
          <w:r>
            <w:tab/>
          </w:r>
          <w:r>
            <w:fldChar w:fldCharType="begin"/>
          </w:r>
          <w:r>
            <w:instrText xml:space="preserve"> PAGEREF _Toc11792 \h </w:instrText>
          </w:r>
          <w:r>
            <w:fldChar w:fldCharType="separate"/>
          </w:r>
          <w:r>
            <w:t>5</w:t>
          </w:r>
          <w:r>
            <w:fldChar w:fldCharType="end"/>
          </w:r>
          <w:r>
            <w:fldChar w:fldCharType="end"/>
          </w:r>
        </w:p>
        <w:p>
          <w:pPr>
            <w:pStyle w:val="38"/>
            <w:tabs>
              <w:tab w:val="right" w:leader="dot" w:pos="8640"/>
            </w:tabs>
            <w:ind w:firstLine="420" w:firstLineChars="200"/>
          </w:pPr>
          <w:r>
            <w:fldChar w:fldCharType="begin"/>
          </w:r>
          <w:r>
            <w:instrText xml:space="preserve"> HYPERLINK \l "_Toc14303" </w:instrText>
          </w:r>
          <w:r>
            <w:fldChar w:fldCharType="separate"/>
          </w:r>
          <w:r>
            <w:rPr>
              <w:rFonts w:hint="eastAsia" w:ascii="宋体" w:hAnsi="宋体" w:cs="宋体"/>
            </w:rPr>
            <w:t>1.</w:t>
          </w:r>
          <w:r>
            <w:rPr>
              <w:rFonts w:hint="eastAsia" w:ascii="宋体" w:hAnsi="宋体" w:cs="宋体"/>
              <w:lang w:val="zh-CN"/>
            </w:rPr>
            <w:t>投标人须知前附表</w:t>
          </w:r>
          <w:r>
            <w:tab/>
          </w:r>
          <w:r>
            <w:fldChar w:fldCharType="begin"/>
          </w:r>
          <w:r>
            <w:instrText xml:space="preserve"> PAGEREF _Toc14303 \h </w:instrText>
          </w:r>
          <w:r>
            <w:fldChar w:fldCharType="separate"/>
          </w:r>
          <w:r>
            <w:t>5</w:t>
          </w:r>
          <w:r>
            <w:fldChar w:fldCharType="end"/>
          </w:r>
          <w:r>
            <w:fldChar w:fldCharType="end"/>
          </w:r>
        </w:p>
        <w:p>
          <w:pPr>
            <w:pStyle w:val="46"/>
            <w:tabs>
              <w:tab w:val="right" w:leader="dot" w:pos="8640"/>
            </w:tabs>
          </w:pPr>
          <w:r>
            <w:fldChar w:fldCharType="begin"/>
          </w:r>
          <w:r>
            <w:instrText xml:space="preserve"> HYPERLINK \l "_Toc7471" </w:instrText>
          </w:r>
          <w:r>
            <w:fldChar w:fldCharType="separate"/>
          </w:r>
          <w:r>
            <w:rPr>
              <w:rFonts w:hint="eastAsia" w:ascii="宋体" w:hAnsi="宋体" w:cs="宋体"/>
            </w:rPr>
            <w:t>2.招标文件</w:t>
          </w:r>
          <w:r>
            <w:tab/>
          </w:r>
          <w:r>
            <w:fldChar w:fldCharType="begin"/>
          </w:r>
          <w:r>
            <w:instrText xml:space="preserve"> PAGEREF _Toc7471 \h </w:instrText>
          </w:r>
          <w:r>
            <w:fldChar w:fldCharType="separate"/>
          </w:r>
          <w:r>
            <w:t>9</w:t>
          </w:r>
          <w:r>
            <w:fldChar w:fldCharType="end"/>
          </w:r>
          <w:r>
            <w:fldChar w:fldCharType="end"/>
          </w:r>
        </w:p>
        <w:p>
          <w:pPr>
            <w:pStyle w:val="46"/>
            <w:tabs>
              <w:tab w:val="right" w:leader="dot" w:pos="8640"/>
            </w:tabs>
          </w:pPr>
          <w:r>
            <w:fldChar w:fldCharType="begin"/>
          </w:r>
          <w:r>
            <w:instrText xml:space="preserve"> HYPERLINK \l "_Toc24442" </w:instrText>
          </w:r>
          <w:r>
            <w:fldChar w:fldCharType="separate"/>
          </w:r>
          <w:r>
            <w:rPr>
              <w:rFonts w:hint="eastAsia" w:ascii="宋体" w:hAnsi="宋体" w:cs="宋体"/>
            </w:rPr>
            <w:t>3.投标文件</w:t>
          </w:r>
          <w:r>
            <w:tab/>
          </w:r>
          <w:r>
            <w:fldChar w:fldCharType="begin"/>
          </w:r>
          <w:r>
            <w:instrText xml:space="preserve"> PAGEREF _Toc24442 \h </w:instrText>
          </w:r>
          <w:r>
            <w:fldChar w:fldCharType="separate"/>
          </w:r>
          <w:r>
            <w:t>9</w:t>
          </w:r>
          <w:r>
            <w:fldChar w:fldCharType="end"/>
          </w:r>
          <w:r>
            <w:fldChar w:fldCharType="end"/>
          </w:r>
        </w:p>
        <w:p>
          <w:pPr>
            <w:pStyle w:val="46"/>
            <w:tabs>
              <w:tab w:val="right" w:leader="dot" w:pos="8640"/>
            </w:tabs>
          </w:pPr>
          <w:r>
            <w:fldChar w:fldCharType="begin"/>
          </w:r>
          <w:r>
            <w:instrText xml:space="preserve"> HYPERLINK \l "_Toc4757" </w:instrText>
          </w:r>
          <w:r>
            <w:fldChar w:fldCharType="separate"/>
          </w:r>
          <w:r>
            <w:rPr>
              <w:rFonts w:hint="eastAsia" w:ascii="宋体" w:hAnsi="宋体" w:cs="宋体"/>
            </w:rPr>
            <w:t>4.投标</w:t>
          </w:r>
          <w:r>
            <w:tab/>
          </w:r>
          <w:r>
            <w:fldChar w:fldCharType="begin"/>
          </w:r>
          <w:r>
            <w:instrText xml:space="preserve"> PAGEREF _Toc4757 \h </w:instrText>
          </w:r>
          <w:r>
            <w:fldChar w:fldCharType="separate"/>
          </w:r>
          <w:r>
            <w:t>11</w:t>
          </w:r>
          <w:r>
            <w:fldChar w:fldCharType="end"/>
          </w:r>
          <w:r>
            <w:fldChar w:fldCharType="end"/>
          </w:r>
        </w:p>
        <w:p>
          <w:pPr>
            <w:pStyle w:val="46"/>
            <w:tabs>
              <w:tab w:val="right" w:leader="dot" w:pos="8640"/>
            </w:tabs>
          </w:pPr>
          <w:r>
            <w:fldChar w:fldCharType="begin"/>
          </w:r>
          <w:r>
            <w:instrText xml:space="preserve"> HYPERLINK \l "_Toc22850" </w:instrText>
          </w:r>
          <w:r>
            <w:fldChar w:fldCharType="separate"/>
          </w:r>
          <w:r>
            <w:rPr>
              <w:rFonts w:hint="eastAsia" w:ascii="宋体" w:hAnsi="宋体" w:cs="宋体"/>
            </w:rPr>
            <w:t>5.开标</w:t>
          </w:r>
          <w:r>
            <w:tab/>
          </w:r>
          <w:r>
            <w:fldChar w:fldCharType="begin"/>
          </w:r>
          <w:r>
            <w:instrText xml:space="preserve"> PAGEREF _Toc22850 \h </w:instrText>
          </w:r>
          <w:r>
            <w:fldChar w:fldCharType="separate"/>
          </w:r>
          <w:r>
            <w:t>12</w:t>
          </w:r>
          <w:r>
            <w:fldChar w:fldCharType="end"/>
          </w:r>
          <w:r>
            <w:fldChar w:fldCharType="end"/>
          </w:r>
        </w:p>
        <w:p>
          <w:pPr>
            <w:pStyle w:val="46"/>
            <w:tabs>
              <w:tab w:val="right" w:leader="dot" w:pos="8640"/>
            </w:tabs>
          </w:pPr>
          <w:r>
            <w:fldChar w:fldCharType="begin"/>
          </w:r>
          <w:r>
            <w:instrText xml:space="preserve"> HYPERLINK \l "_Toc15211" </w:instrText>
          </w:r>
          <w:r>
            <w:fldChar w:fldCharType="separate"/>
          </w:r>
          <w:r>
            <w:rPr>
              <w:rFonts w:hint="eastAsia" w:ascii="宋体" w:hAnsi="宋体" w:cs="宋体"/>
            </w:rPr>
            <w:t>6.评标</w:t>
          </w:r>
          <w:r>
            <w:tab/>
          </w:r>
          <w:r>
            <w:fldChar w:fldCharType="begin"/>
          </w:r>
          <w:r>
            <w:instrText xml:space="preserve"> PAGEREF _Toc15211 \h </w:instrText>
          </w:r>
          <w:r>
            <w:fldChar w:fldCharType="separate"/>
          </w:r>
          <w:r>
            <w:t>12</w:t>
          </w:r>
          <w:r>
            <w:fldChar w:fldCharType="end"/>
          </w:r>
          <w:r>
            <w:fldChar w:fldCharType="end"/>
          </w:r>
        </w:p>
        <w:p>
          <w:pPr>
            <w:pStyle w:val="46"/>
            <w:tabs>
              <w:tab w:val="right" w:leader="dot" w:pos="8640"/>
            </w:tabs>
          </w:pPr>
          <w:r>
            <w:fldChar w:fldCharType="begin"/>
          </w:r>
          <w:r>
            <w:instrText xml:space="preserve"> HYPERLINK \l "_Toc12239" </w:instrText>
          </w:r>
          <w:r>
            <w:fldChar w:fldCharType="separate"/>
          </w:r>
          <w:r>
            <w:rPr>
              <w:rFonts w:hint="eastAsia" w:ascii="宋体" w:hAnsi="宋体" w:cs="宋体"/>
            </w:rPr>
            <w:t>7.合同授予</w:t>
          </w:r>
          <w:r>
            <w:tab/>
          </w:r>
          <w:r>
            <w:fldChar w:fldCharType="begin"/>
          </w:r>
          <w:r>
            <w:instrText xml:space="preserve"> PAGEREF _Toc12239 \h </w:instrText>
          </w:r>
          <w:r>
            <w:fldChar w:fldCharType="separate"/>
          </w:r>
          <w:r>
            <w:t>14</w:t>
          </w:r>
          <w:r>
            <w:fldChar w:fldCharType="end"/>
          </w:r>
          <w:r>
            <w:fldChar w:fldCharType="end"/>
          </w:r>
        </w:p>
        <w:p>
          <w:pPr>
            <w:pStyle w:val="46"/>
            <w:tabs>
              <w:tab w:val="right" w:leader="dot" w:pos="8640"/>
            </w:tabs>
          </w:pPr>
          <w:r>
            <w:fldChar w:fldCharType="begin"/>
          </w:r>
          <w:r>
            <w:instrText xml:space="preserve"> HYPERLINK \l "_Toc2490" </w:instrText>
          </w:r>
          <w:r>
            <w:fldChar w:fldCharType="separate"/>
          </w:r>
          <w:r>
            <w:rPr>
              <w:rFonts w:hint="eastAsia" w:ascii="宋体" w:hAnsi="宋体" w:cs="宋体"/>
            </w:rPr>
            <w:t>8.纪律和监督</w:t>
          </w:r>
          <w:r>
            <w:tab/>
          </w:r>
          <w:r>
            <w:fldChar w:fldCharType="begin"/>
          </w:r>
          <w:r>
            <w:instrText xml:space="preserve"> PAGEREF _Toc2490 \h </w:instrText>
          </w:r>
          <w:r>
            <w:fldChar w:fldCharType="separate"/>
          </w:r>
          <w:r>
            <w:t>15</w:t>
          </w:r>
          <w:r>
            <w:fldChar w:fldCharType="end"/>
          </w:r>
          <w:r>
            <w:fldChar w:fldCharType="end"/>
          </w:r>
        </w:p>
        <w:p>
          <w:pPr>
            <w:pStyle w:val="46"/>
            <w:tabs>
              <w:tab w:val="right" w:leader="dot" w:pos="8640"/>
            </w:tabs>
          </w:pPr>
          <w:r>
            <w:fldChar w:fldCharType="begin"/>
          </w:r>
          <w:r>
            <w:instrText xml:space="preserve"> HYPERLINK \l "_Toc32680" </w:instrText>
          </w:r>
          <w:r>
            <w:fldChar w:fldCharType="separate"/>
          </w:r>
          <w:r>
            <w:rPr>
              <w:rFonts w:hint="eastAsia" w:ascii="宋体" w:hAnsi="宋体" w:cs="宋体"/>
            </w:rPr>
            <w:t>9.是否采用电子招标投标</w:t>
          </w:r>
          <w:r>
            <w:tab/>
          </w:r>
          <w:r>
            <w:fldChar w:fldCharType="begin"/>
          </w:r>
          <w:r>
            <w:instrText xml:space="preserve"> PAGEREF _Toc32680 \h </w:instrText>
          </w:r>
          <w:r>
            <w:fldChar w:fldCharType="separate"/>
          </w:r>
          <w:r>
            <w:t>16</w:t>
          </w:r>
          <w:r>
            <w:fldChar w:fldCharType="end"/>
          </w:r>
          <w:r>
            <w:fldChar w:fldCharType="end"/>
          </w:r>
        </w:p>
        <w:p>
          <w:pPr>
            <w:pStyle w:val="46"/>
            <w:tabs>
              <w:tab w:val="right" w:leader="dot" w:pos="8640"/>
            </w:tabs>
          </w:pPr>
          <w:r>
            <w:fldChar w:fldCharType="begin"/>
          </w:r>
          <w:r>
            <w:instrText xml:space="preserve"> HYPERLINK \l "_Toc22527" </w:instrText>
          </w:r>
          <w:r>
            <w:fldChar w:fldCharType="separate"/>
          </w:r>
          <w:r>
            <w:rPr>
              <w:rFonts w:hint="eastAsia" w:ascii="宋体" w:hAnsi="宋体" w:cs="宋体"/>
            </w:rPr>
            <w:t>10.需要补充的其他内容</w:t>
          </w:r>
          <w:r>
            <w:tab/>
          </w:r>
          <w:r>
            <w:fldChar w:fldCharType="begin"/>
          </w:r>
          <w:r>
            <w:instrText xml:space="preserve"> PAGEREF _Toc22527 \h </w:instrText>
          </w:r>
          <w:r>
            <w:fldChar w:fldCharType="separate"/>
          </w:r>
          <w:r>
            <w:t>16</w:t>
          </w:r>
          <w:r>
            <w:fldChar w:fldCharType="end"/>
          </w:r>
          <w:r>
            <w:fldChar w:fldCharType="end"/>
          </w:r>
        </w:p>
        <w:p>
          <w:pPr>
            <w:pStyle w:val="38"/>
            <w:tabs>
              <w:tab w:val="right" w:leader="dot" w:pos="8640"/>
            </w:tabs>
          </w:pPr>
          <w:r>
            <w:fldChar w:fldCharType="begin"/>
          </w:r>
          <w:r>
            <w:instrText xml:space="preserve"> HYPERLINK \l "_Toc4357" </w:instrText>
          </w:r>
          <w:r>
            <w:fldChar w:fldCharType="separate"/>
          </w:r>
          <w:r>
            <w:rPr>
              <w:rFonts w:hint="eastAsia" w:ascii="宋体" w:hAnsi="宋体"/>
              <w:snapToGrid w:val="0"/>
              <w:kern w:val="0"/>
              <w:szCs w:val="20"/>
            </w:rPr>
            <w:t>第三章 项目需求</w:t>
          </w:r>
          <w:r>
            <w:tab/>
          </w:r>
          <w:r>
            <w:fldChar w:fldCharType="begin"/>
          </w:r>
          <w:r>
            <w:instrText xml:space="preserve"> PAGEREF _Toc4357 \h </w:instrText>
          </w:r>
          <w:r>
            <w:fldChar w:fldCharType="separate"/>
          </w:r>
          <w:r>
            <w:t>17</w:t>
          </w:r>
          <w:r>
            <w:fldChar w:fldCharType="end"/>
          </w:r>
          <w:r>
            <w:fldChar w:fldCharType="end"/>
          </w:r>
        </w:p>
        <w:p>
          <w:pPr>
            <w:pStyle w:val="46"/>
            <w:tabs>
              <w:tab w:val="right" w:leader="dot" w:pos="8640"/>
            </w:tabs>
          </w:pPr>
          <w:r>
            <w:fldChar w:fldCharType="begin"/>
          </w:r>
          <w:r>
            <w:instrText xml:space="preserve"> HYPERLINK \l "_Toc3712" </w:instrText>
          </w:r>
          <w:r>
            <w:fldChar w:fldCharType="separate"/>
          </w:r>
          <w:r>
            <w:rPr>
              <w:rFonts w:hint="eastAsia" w:ascii="宋体" w:hAnsi="宋体" w:cs="宋体"/>
            </w:rPr>
            <w:t>1项目情况</w:t>
          </w:r>
          <w:r>
            <w:tab/>
          </w:r>
          <w:r>
            <w:fldChar w:fldCharType="begin"/>
          </w:r>
          <w:r>
            <w:instrText xml:space="preserve"> PAGEREF _Toc3712 \h </w:instrText>
          </w:r>
          <w:r>
            <w:fldChar w:fldCharType="separate"/>
          </w:r>
          <w:r>
            <w:t>17</w:t>
          </w:r>
          <w:r>
            <w:fldChar w:fldCharType="end"/>
          </w:r>
          <w:r>
            <w:fldChar w:fldCharType="end"/>
          </w:r>
        </w:p>
        <w:p>
          <w:pPr>
            <w:pStyle w:val="46"/>
            <w:tabs>
              <w:tab w:val="right" w:leader="dot" w:pos="8640"/>
            </w:tabs>
          </w:pPr>
          <w:r>
            <w:fldChar w:fldCharType="begin"/>
          </w:r>
          <w:r>
            <w:instrText xml:space="preserve"> HYPERLINK \l "_Toc4187" </w:instrText>
          </w:r>
          <w:r>
            <w:fldChar w:fldCharType="separate"/>
          </w:r>
          <w:r>
            <w:rPr>
              <w:rFonts w:hint="eastAsia" w:ascii="宋体" w:hAnsi="宋体" w:cs="宋体"/>
            </w:rPr>
            <w:t>2项目需求</w:t>
          </w:r>
          <w:r>
            <w:tab/>
          </w:r>
          <w:r>
            <w:fldChar w:fldCharType="begin"/>
          </w:r>
          <w:r>
            <w:instrText xml:space="preserve"> PAGEREF _Toc4187 \h </w:instrText>
          </w:r>
          <w:r>
            <w:fldChar w:fldCharType="separate"/>
          </w:r>
          <w:r>
            <w:t>17</w:t>
          </w:r>
          <w:r>
            <w:fldChar w:fldCharType="end"/>
          </w:r>
          <w:r>
            <w:fldChar w:fldCharType="end"/>
          </w:r>
        </w:p>
        <w:p>
          <w:pPr>
            <w:pStyle w:val="29"/>
            <w:tabs>
              <w:tab w:val="right" w:leader="dot" w:pos="8640"/>
            </w:tabs>
          </w:pPr>
          <w:r>
            <w:fldChar w:fldCharType="begin"/>
          </w:r>
          <w:r>
            <w:instrText xml:space="preserve"> HYPERLINK \l "_Toc23" </w:instrText>
          </w:r>
          <w:r>
            <w:fldChar w:fldCharType="separate"/>
          </w:r>
          <w:r>
            <w:rPr>
              <w:rFonts w:hint="eastAsia" w:ascii="宋体" w:hAnsi="宋体" w:cs="宋体"/>
            </w:rPr>
            <w:t>2.1线上售票平台</w:t>
          </w:r>
          <w:r>
            <w:tab/>
          </w:r>
          <w:r>
            <w:fldChar w:fldCharType="begin"/>
          </w:r>
          <w:r>
            <w:instrText xml:space="preserve"> PAGEREF _Toc23 \h </w:instrText>
          </w:r>
          <w:r>
            <w:fldChar w:fldCharType="separate"/>
          </w:r>
          <w:r>
            <w:t>17</w:t>
          </w:r>
          <w:r>
            <w:fldChar w:fldCharType="end"/>
          </w:r>
          <w:r>
            <w:fldChar w:fldCharType="end"/>
          </w:r>
        </w:p>
        <w:p>
          <w:pPr>
            <w:pStyle w:val="29"/>
            <w:tabs>
              <w:tab w:val="right" w:leader="dot" w:pos="8640"/>
            </w:tabs>
          </w:pPr>
          <w:r>
            <w:fldChar w:fldCharType="begin"/>
          </w:r>
          <w:r>
            <w:instrText xml:space="preserve"> HYPERLINK \l "_Toc25705" </w:instrText>
          </w:r>
          <w:r>
            <w:fldChar w:fldCharType="separate"/>
          </w:r>
          <w:r>
            <w:rPr>
              <w:rFonts w:hint="eastAsia" w:ascii="宋体" w:hAnsi="宋体" w:cs="宋体"/>
            </w:rPr>
            <w:t>2.2售票管理平台</w:t>
          </w:r>
          <w:r>
            <w:tab/>
          </w:r>
          <w:r>
            <w:fldChar w:fldCharType="begin"/>
          </w:r>
          <w:r>
            <w:instrText xml:space="preserve"> PAGEREF _Toc25705 \h </w:instrText>
          </w:r>
          <w:r>
            <w:fldChar w:fldCharType="separate"/>
          </w:r>
          <w:r>
            <w:t>17</w:t>
          </w:r>
          <w:r>
            <w:fldChar w:fldCharType="end"/>
          </w:r>
          <w:r>
            <w:fldChar w:fldCharType="end"/>
          </w:r>
        </w:p>
        <w:p>
          <w:pPr>
            <w:pStyle w:val="29"/>
            <w:tabs>
              <w:tab w:val="right" w:leader="dot" w:pos="8640"/>
            </w:tabs>
          </w:pPr>
          <w:r>
            <w:fldChar w:fldCharType="begin"/>
          </w:r>
          <w:r>
            <w:instrText xml:space="preserve"> HYPERLINK \l "_Toc8850" </w:instrText>
          </w:r>
          <w:r>
            <w:fldChar w:fldCharType="separate"/>
          </w:r>
          <w:r>
            <w:rPr>
              <w:rFonts w:hint="eastAsia" w:ascii="宋体" w:hAnsi="宋体" w:cs="宋体"/>
            </w:rPr>
            <w:t>2.3第三方接口对接</w:t>
          </w:r>
          <w:r>
            <w:tab/>
          </w:r>
          <w:r>
            <w:fldChar w:fldCharType="begin"/>
          </w:r>
          <w:r>
            <w:instrText xml:space="preserve"> PAGEREF _Toc8850 \h </w:instrText>
          </w:r>
          <w:r>
            <w:fldChar w:fldCharType="separate"/>
          </w:r>
          <w:r>
            <w:t>18</w:t>
          </w:r>
          <w:r>
            <w:fldChar w:fldCharType="end"/>
          </w:r>
          <w:r>
            <w:fldChar w:fldCharType="end"/>
          </w:r>
        </w:p>
        <w:p>
          <w:pPr>
            <w:pStyle w:val="46"/>
            <w:tabs>
              <w:tab w:val="right" w:leader="dot" w:pos="8640"/>
            </w:tabs>
          </w:pPr>
          <w:r>
            <w:fldChar w:fldCharType="begin"/>
          </w:r>
          <w:r>
            <w:instrText xml:space="preserve"> HYPERLINK \l "_Toc21929" </w:instrText>
          </w:r>
          <w:r>
            <w:fldChar w:fldCharType="separate"/>
          </w:r>
          <w:r>
            <w:rPr>
              <w:rFonts w:hint="eastAsia" w:ascii="宋体" w:hAnsi="宋体" w:cs="宋体"/>
            </w:rPr>
            <w:t>3建设原则</w:t>
          </w:r>
          <w:r>
            <w:tab/>
          </w:r>
          <w:r>
            <w:fldChar w:fldCharType="begin"/>
          </w:r>
          <w:r>
            <w:instrText xml:space="preserve"> PAGEREF _Toc21929 \h </w:instrText>
          </w:r>
          <w:r>
            <w:fldChar w:fldCharType="separate"/>
          </w:r>
          <w:r>
            <w:t>18</w:t>
          </w:r>
          <w:r>
            <w:fldChar w:fldCharType="end"/>
          </w:r>
          <w:r>
            <w:fldChar w:fldCharType="end"/>
          </w:r>
        </w:p>
        <w:p>
          <w:pPr>
            <w:pStyle w:val="29"/>
            <w:tabs>
              <w:tab w:val="right" w:leader="dot" w:pos="8640"/>
            </w:tabs>
          </w:pPr>
          <w:r>
            <w:fldChar w:fldCharType="begin"/>
          </w:r>
          <w:r>
            <w:instrText xml:space="preserve"> HYPERLINK \l "_Toc9947" </w:instrText>
          </w:r>
          <w:r>
            <w:fldChar w:fldCharType="separate"/>
          </w:r>
          <w:r>
            <w:rPr>
              <w:rFonts w:hint="eastAsia" w:ascii="宋体" w:hAnsi="宋体" w:cs="宋体"/>
            </w:rPr>
            <w:t>3.1高效性</w:t>
          </w:r>
          <w:r>
            <w:tab/>
          </w:r>
          <w:r>
            <w:fldChar w:fldCharType="begin"/>
          </w:r>
          <w:r>
            <w:instrText xml:space="preserve"> PAGEREF _Toc9947 \h </w:instrText>
          </w:r>
          <w:r>
            <w:fldChar w:fldCharType="separate"/>
          </w:r>
          <w:r>
            <w:t>18</w:t>
          </w:r>
          <w:r>
            <w:fldChar w:fldCharType="end"/>
          </w:r>
          <w:r>
            <w:fldChar w:fldCharType="end"/>
          </w:r>
        </w:p>
        <w:p>
          <w:pPr>
            <w:pStyle w:val="29"/>
            <w:tabs>
              <w:tab w:val="right" w:leader="dot" w:pos="8640"/>
            </w:tabs>
          </w:pPr>
          <w:r>
            <w:fldChar w:fldCharType="begin"/>
          </w:r>
          <w:r>
            <w:instrText xml:space="preserve"> HYPERLINK \l "_Toc6738" </w:instrText>
          </w:r>
          <w:r>
            <w:fldChar w:fldCharType="separate"/>
          </w:r>
          <w:r>
            <w:rPr>
              <w:rFonts w:hint="eastAsia" w:ascii="宋体" w:hAnsi="宋体" w:cs="宋体"/>
            </w:rPr>
            <w:t>3.2安全性</w:t>
          </w:r>
          <w:r>
            <w:tab/>
          </w:r>
          <w:r>
            <w:fldChar w:fldCharType="begin"/>
          </w:r>
          <w:r>
            <w:instrText xml:space="preserve"> PAGEREF _Toc6738 \h </w:instrText>
          </w:r>
          <w:r>
            <w:fldChar w:fldCharType="separate"/>
          </w:r>
          <w:r>
            <w:t>18</w:t>
          </w:r>
          <w:r>
            <w:fldChar w:fldCharType="end"/>
          </w:r>
          <w:r>
            <w:fldChar w:fldCharType="end"/>
          </w:r>
        </w:p>
        <w:p>
          <w:pPr>
            <w:pStyle w:val="29"/>
            <w:tabs>
              <w:tab w:val="right" w:leader="dot" w:pos="8640"/>
            </w:tabs>
          </w:pPr>
          <w:r>
            <w:fldChar w:fldCharType="begin"/>
          </w:r>
          <w:r>
            <w:instrText xml:space="preserve"> HYPERLINK \l "_Toc22395" </w:instrText>
          </w:r>
          <w:r>
            <w:fldChar w:fldCharType="separate"/>
          </w:r>
          <w:r>
            <w:rPr>
              <w:rFonts w:hint="eastAsia" w:ascii="宋体" w:hAnsi="宋体" w:cs="宋体"/>
            </w:rPr>
            <w:t>3.3可扩展性</w:t>
          </w:r>
          <w:r>
            <w:tab/>
          </w:r>
          <w:r>
            <w:fldChar w:fldCharType="begin"/>
          </w:r>
          <w:r>
            <w:instrText xml:space="preserve"> PAGEREF _Toc22395 \h </w:instrText>
          </w:r>
          <w:r>
            <w:fldChar w:fldCharType="separate"/>
          </w:r>
          <w:r>
            <w:t>18</w:t>
          </w:r>
          <w:r>
            <w:fldChar w:fldCharType="end"/>
          </w:r>
          <w:r>
            <w:fldChar w:fldCharType="end"/>
          </w:r>
        </w:p>
        <w:p>
          <w:pPr>
            <w:pStyle w:val="29"/>
            <w:tabs>
              <w:tab w:val="right" w:leader="dot" w:pos="8640"/>
            </w:tabs>
          </w:pPr>
          <w:r>
            <w:fldChar w:fldCharType="begin"/>
          </w:r>
          <w:r>
            <w:instrText xml:space="preserve"> HYPERLINK \l "_Toc13125" </w:instrText>
          </w:r>
          <w:r>
            <w:fldChar w:fldCharType="separate"/>
          </w:r>
          <w:r>
            <w:rPr>
              <w:rFonts w:hint="eastAsia" w:ascii="宋体" w:hAnsi="宋体" w:cs="宋体"/>
            </w:rPr>
            <w:t>3.4通用性</w:t>
          </w:r>
          <w:r>
            <w:tab/>
          </w:r>
          <w:r>
            <w:fldChar w:fldCharType="begin"/>
          </w:r>
          <w:r>
            <w:instrText xml:space="preserve"> PAGEREF _Toc13125 \h </w:instrText>
          </w:r>
          <w:r>
            <w:fldChar w:fldCharType="separate"/>
          </w:r>
          <w:r>
            <w:t>19</w:t>
          </w:r>
          <w:r>
            <w:fldChar w:fldCharType="end"/>
          </w:r>
          <w:r>
            <w:fldChar w:fldCharType="end"/>
          </w:r>
        </w:p>
        <w:p>
          <w:pPr>
            <w:pStyle w:val="29"/>
            <w:tabs>
              <w:tab w:val="right" w:leader="dot" w:pos="8640"/>
            </w:tabs>
          </w:pPr>
          <w:r>
            <w:fldChar w:fldCharType="begin"/>
          </w:r>
          <w:r>
            <w:instrText xml:space="preserve"> HYPERLINK \l "_Toc6211" </w:instrText>
          </w:r>
          <w:r>
            <w:fldChar w:fldCharType="separate"/>
          </w:r>
          <w:r>
            <w:rPr>
              <w:rFonts w:hint="eastAsia" w:ascii="宋体" w:hAnsi="宋体" w:cs="宋体"/>
            </w:rPr>
            <w:t>3.5先进性</w:t>
          </w:r>
          <w:r>
            <w:tab/>
          </w:r>
          <w:r>
            <w:fldChar w:fldCharType="begin"/>
          </w:r>
          <w:r>
            <w:instrText xml:space="preserve"> PAGEREF _Toc6211 \h </w:instrText>
          </w:r>
          <w:r>
            <w:fldChar w:fldCharType="separate"/>
          </w:r>
          <w:r>
            <w:t>19</w:t>
          </w:r>
          <w:r>
            <w:fldChar w:fldCharType="end"/>
          </w:r>
          <w:r>
            <w:fldChar w:fldCharType="end"/>
          </w:r>
        </w:p>
        <w:p>
          <w:pPr>
            <w:pStyle w:val="29"/>
            <w:tabs>
              <w:tab w:val="right" w:leader="dot" w:pos="8640"/>
            </w:tabs>
          </w:pPr>
          <w:r>
            <w:fldChar w:fldCharType="begin"/>
          </w:r>
          <w:r>
            <w:instrText xml:space="preserve"> HYPERLINK \l "_Toc10662" </w:instrText>
          </w:r>
          <w:r>
            <w:fldChar w:fldCharType="separate"/>
          </w:r>
          <w:r>
            <w:rPr>
              <w:rFonts w:hint="eastAsia" w:ascii="宋体" w:hAnsi="宋体" w:cs="宋体"/>
            </w:rPr>
            <w:t>3.6可管理性</w:t>
          </w:r>
          <w:r>
            <w:tab/>
          </w:r>
          <w:r>
            <w:fldChar w:fldCharType="begin"/>
          </w:r>
          <w:r>
            <w:instrText xml:space="preserve"> PAGEREF _Toc10662 \h </w:instrText>
          </w:r>
          <w:r>
            <w:fldChar w:fldCharType="separate"/>
          </w:r>
          <w:r>
            <w:t>19</w:t>
          </w:r>
          <w:r>
            <w:fldChar w:fldCharType="end"/>
          </w:r>
          <w:r>
            <w:fldChar w:fldCharType="end"/>
          </w:r>
        </w:p>
        <w:p>
          <w:pPr>
            <w:pStyle w:val="46"/>
            <w:tabs>
              <w:tab w:val="right" w:leader="dot" w:pos="8640"/>
            </w:tabs>
          </w:pPr>
          <w:r>
            <w:fldChar w:fldCharType="begin"/>
          </w:r>
          <w:r>
            <w:instrText xml:space="preserve"> HYPERLINK \l "_Toc30743" </w:instrText>
          </w:r>
          <w:r>
            <w:fldChar w:fldCharType="separate"/>
          </w:r>
          <w:r>
            <w:rPr>
              <w:rFonts w:hint="eastAsia" w:ascii="宋体" w:hAnsi="宋体" w:cs="宋体"/>
            </w:rPr>
            <w:t>4建设内容</w:t>
          </w:r>
          <w:r>
            <w:tab/>
          </w:r>
          <w:r>
            <w:fldChar w:fldCharType="begin"/>
          </w:r>
          <w:r>
            <w:instrText xml:space="preserve"> PAGEREF _Toc30743 \h </w:instrText>
          </w:r>
          <w:r>
            <w:fldChar w:fldCharType="separate"/>
          </w:r>
          <w:r>
            <w:t>19</w:t>
          </w:r>
          <w:r>
            <w:fldChar w:fldCharType="end"/>
          </w:r>
          <w:r>
            <w:fldChar w:fldCharType="end"/>
          </w:r>
        </w:p>
        <w:p>
          <w:pPr>
            <w:pStyle w:val="29"/>
            <w:tabs>
              <w:tab w:val="right" w:leader="dot" w:pos="8640"/>
            </w:tabs>
          </w:pPr>
          <w:r>
            <w:fldChar w:fldCharType="begin"/>
          </w:r>
          <w:r>
            <w:instrText xml:space="preserve"> HYPERLINK \l "_Toc31210" </w:instrText>
          </w:r>
          <w:r>
            <w:fldChar w:fldCharType="separate"/>
          </w:r>
          <w:r>
            <w:rPr>
              <w:rFonts w:hint="eastAsia" w:ascii="宋体" w:hAnsi="宋体" w:cs="宋体"/>
            </w:rPr>
            <w:t>4.1总体架构</w:t>
          </w:r>
          <w:r>
            <w:tab/>
          </w:r>
          <w:r>
            <w:fldChar w:fldCharType="begin"/>
          </w:r>
          <w:r>
            <w:instrText xml:space="preserve"> PAGEREF _Toc31210 \h </w:instrText>
          </w:r>
          <w:r>
            <w:fldChar w:fldCharType="separate"/>
          </w:r>
          <w:r>
            <w:t>19</w:t>
          </w:r>
          <w:r>
            <w:fldChar w:fldCharType="end"/>
          </w:r>
          <w:r>
            <w:fldChar w:fldCharType="end"/>
          </w:r>
        </w:p>
        <w:p>
          <w:pPr>
            <w:pStyle w:val="29"/>
            <w:tabs>
              <w:tab w:val="right" w:leader="dot" w:pos="8640"/>
            </w:tabs>
          </w:pPr>
          <w:r>
            <w:fldChar w:fldCharType="begin"/>
          </w:r>
          <w:r>
            <w:instrText xml:space="preserve"> HYPERLINK \l "_Toc3629" </w:instrText>
          </w:r>
          <w:r>
            <w:fldChar w:fldCharType="separate"/>
          </w:r>
          <w:r>
            <w:rPr>
              <w:rFonts w:hint="eastAsia" w:ascii="宋体" w:hAnsi="宋体" w:cs="宋体"/>
            </w:rPr>
            <w:t>4.2 线上售票平台建设</w:t>
          </w:r>
          <w:r>
            <w:tab/>
          </w:r>
          <w:r>
            <w:fldChar w:fldCharType="begin"/>
          </w:r>
          <w:r>
            <w:instrText xml:space="preserve"> PAGEREF _Toc3629 \h </w:instrText>
          </w:r>
          <w:r>
            <w:fldChar w:fldCharType="separate"/>
          </w:r>
          <w:r>
            <w:t>20</w:t>
          </w:r>
          <w:r>
            <w:fldChar w:fldCharType="end"/>
          </w:r>
          <w:r>
            <w:fldChar w:fldCharType="end"/>
          </w:r>
        </w:p>
        <w:p>
          <w:pPr>
            <w:pStyle w:val="29"/>
            <w:tabs>
              <w:tab w:val="right" w:leader="dot" w:pos="8640"/>
            </w:tabs>
          </w:pPr>
          <w:r>
            <w:fldChar w:fldCharType="begin"/>
          </w:r>
          <w:r>
            <w:instrText xml:space="preserve"> HYPERLINK \l "_Toc8351" </w:instrText>
          </w:r>
          <w:r>
            <w:fldChar w:fldCharType="separate"/>
          </w:r>
          <w:r>
            <w:rPr>
              <w:rFonts w:hint="eastAsia" w:ascii="宋体" w:hAnsi="宋体" w:cs="宋体"/>
            </w:rPr>
            <w:t>4.3 后台管理平台建设</w:t>
          </w:r>
          <w:r>
            <w:tab/>
          </w:r>
          <w:r>
            <w:fldChar w:fldCharType="begin"/>
          </w:r>
          <w:r>
            <w:instrText xml:space="preserve"> PAGEREF _Toc8351 \h </w:instrText>
          </w:r>
          <w:r>
            <w:fldChar w:fldCharType="separate"/>
          </w:r>
          <w:r>
            <w:t>22</w:t>
          </w:r>
          <w:r>
            <w:fldChar w:fldCharType="end"/>
          </w:r>
          <w:r>
            <w:fldChar w:fldCharType="end"/>
          </w:r>
        </w:p>
        <w:p>
          <w:pPr>
            <w:pStyle w:val="29"/>
            <w:tabs>
              <w:tab w:val="right" w:leader="dot" w:pos="8640"/>
            </w:tabs>
          </w:pPr>
          <w:r>
            <w:fldChar w:fldCharType="begin"/>
          </w:r>
          <w:r>
            <w:instrText xml:space="preserve"> HYPERLINK \l "_Toc26183" </w:instrText>
          </w:r>
          <w:r>
            <w:fldChar w:fldCharType="separate"/>
          </w:r>
          <w:r>
            <w:rPr>
              <w:rFonts w:hint="eastAsia" w:ascii="宋体" w:hAnsi="宋体" w:cs="宋体"/>
            </w:rPr>
            <w:t>4.4安全控制</w:t>
          </w:r>
          <w:r>
            <w:tab/>
          </w:r>
          <w:r>
            <w:fldChar w:fldCharType="begin"/>
          </w:r>
          <w:r>
            <w:instrText xml:space="preserve"> PAGEREF _Toc26183 \h </w:instrText>
          </w:r>
          <w:r>
            <w:fldChar w:fldCharType="separate"/>
          </w:r>
          <w:r>
            <w:t>23</w:t>
          </w:r>
          <w:r>
            <w:fldChar w:fldCharType="end"/>
          </w:r>
          <w:r>
            <w:fldChar w:fldCharType="end"/>
          </w:r>
        </w:p>
        <w:p>
          <w:pPr>
            <w:pStyle w:val="38"/>
            <w:tabs>
              <w:tab w:val="right" w:leader="dot" w:pos="8640"/>
            </w:tabs>
          </w:pPr>
          <w:r>
            <w:fldChar w:fldCharType="begin"/>
          </w:r>
          <w:r>
            <w:instrText xml:space="preserve"> HYPERLINK \l "_Toc233" </w:instrText>
          </w:r>
          <w:r>
            <w:fldChar w:fldCharType="separate"/>
          </w:r>
          <w:r>
            <w:rPr>
              <w:rFonts w:hint="eastAsia" w:ascii="宋体" w:hAnsi="宋体" w:cs="宋体"/>
            </w:rPr>
            <w:t>第四章 评审方法和程序</w:t>
          </w:r>
          <w:r>
            <w:tab/>
          </w:r>
          <w:r>
            <w:fldChar w:fldCharType="begin"/>
          </w:r>
          <w:r>
            <w:instrText xml:space="preserve"> PAGEREF _Toc233 \h </w:instrText>
          </w:r>
          <w:r>
            <w:fldChar w:fldCharType="separate"/>
          </w:r>
          <w:r>
            <w:t>24</w:t>
          </w:r>
          <w:r>
            <w:fldChar w:fldCharType="end"/>
          </w:r>
          <w:r>
            <w:fldChar w:fldCharType="end"/>
          </w:r>
        </w:p>
        <w:p>
          <w:pPr>
            <w:pStyle w:val="38"/>
            <w:tabs>
              <w:tab w:val="right" w:leader="dot" w:pos="8640"/>
            </w:tabs>
          </w:pPr>
          <w:r>
            <w:fldChar w:fldCharType="begin"/>
          </w:r>
          <w:r>
            <w:instrText xml:space="preserve"> HYPERLINK \l "_Toc18324" </w:instrText>
          </w:r>
          <w:r>
            <w:fldChar w:fldCharType="separate"/>
          </w:r>
          <w:r>
            <w:rPr>
              <w:rFonts w:hint="eastAsia" w:ascii="宋体" w:hAnsi="宋体" w:cs="宋体"/>
            </w:rPr>
            <w:t xml:space="preserve">第五章 </w:t>
          </w:r>
          <w:r>
            <w:rPr>
              <w:rFonts w:hint="eastAsia" w:ascii="宋体" w:hAnsi="宋体" w:cs="宋体"/>
              <w:lang w:val="zh-CN"/>
            </w:rPr>
            <w:t>合同条款及格式</w:t>
          </w:r>
          <w:r>
            <w:tab/>
          </w:r>
          <w:r>
            <w:fldChar w:fldCharType="begin"/>
          </w:r>
          <w:r>
            <w:instrText xml:space="preserve"> PAGEREF _Toc18324 \h </w:instrText>
          </w:r>
          <w:r>
            <w:fldChar w:fldCharType="separate"/>
          </w:r>
          <w:r>
            <w:t>29</w:t>
          </w:r>
          <w:r>
            <w:fldChar w:fldCharType="end"/>
          </w:r>
          <w:r>
            <w:fldChar w:fldCharType="end"/>
          </w:r>
        </w:p>
        <w:p>
          <w:pPr>
            <w:pStyle w:val="38"/>
            <w:tabs>
              <w:tab w:val="right" w:leader="dot" w:pos="8640"/>
            </w:tabs>
          </w:pPr>
          <w:r>
            <w:fldChar w:fldCharType="begin"/>
          </w:r>
          <w:r>
            <w:instrText xml:space="preserve"> HYPERLINK \l "_Toc4778" </w:instrText>
          </w:r>
          <w:r>
            <w:fldChar w:fldCharType="separate"/>
          </w:r>
          <w:r>
            <w:rPr>
              <w:rFonts w:hint="eastAsia" w:ascii="宋体" w:hAnsi="宋体" w:cs="宋体"/>
            </w:rPr>
            <w:t>第六章 响应文件组成</w:t>
          </w:r>
          <w:r>
            <w:tab/>
          </w:r>
          <w:r>
            <w:fldChar w:fldCharType="begin"/>
          </w:r>
          <w:r>
            <w:instrText xml:space="preserve"> PAGEREF _Toc4778 \h </w:instrText>
          </w:r>
          <w:r>
            <w:fldChar w:fldCharType="separate"/>
          </w:r>
          <w:r>
            <w:t>42</w:t>
          </w:r>
          <w:r>
            <w:fldChar w:fldCharType="end"/>
          </w:r>
          <w:r>
            <w:fldChar w:fldCharType="end"/>
          </w:r>
        </w:p>
        <w:p>
          <w:pPr>
            <w:pStyle w:val="22"/>
            <w:adjustRightInd w:val="0"/>
            <w:snapToGrid w:val="0"/>
            <w:spacing w:line="360" w:lineRule="auto"/>
            <w:rPr>
              <w:rFonts w:ascii="宋体" w:hAnsi="宋体" w:eastAsia="宋体" w:cs="宋体"/>
              <w:sz w:val="24"/>
            </w:rPr>
          </w:pPr>
          <w:r>
            <w:rPr>
              <w:rFonts w:hint="eastAsia" w:ascii="宋体" w:hAnsi="宋体" w:eastAsia="宋体" w:cs="宋体"/>
            </w:rPr>
            <w:fldChar w:fldCharType="end"/>
          </w:r>
        </w:p>
      </w:sdtContent>
    </w:sdt>
    <w:p>
      <w:pPr>
        <w:adjustRightInd w:val="0"/>
        <w:snapToGrid w:val="0"/>
        <w:spacing w:line="360" w:lineRule="auto"/>
        <w:rPr>
          <w:rFonts w:ascii="宋体" w:hAnsi="宋体" w:cs="宋体"/>
          <w:sz w:val="24"/>
          <w:szCs w:val="24"/>
        </w:rPr>
      </w:pPr>
    </w:p>
    <w:p>
      <w:pPr>
        <w:adjustRightInd w:val="0"/>
        <w:snapToGrid w:val="0"/>
        <w:spacing w:line="360" w:lineRule="auto"/>
        <w:jc w:val="center"/>
        <w:rPr>
          <w:rFonts w:ascii="宋体" w:hAnsi="宋体" w:cs="宋体"/>
          <w:b/>
          <w:sz w:val="24"/>
          <w:szCs w:val="24"/>
        </w:rPr>
      </w:pPr>
      <w:r>
        <w:rPr>
          <w:rFonts w:hint="eastAsia" w:ascii="宋体" w:hAnsi="宋体" w:cs="宋体"/>
          <w:bCs/>
          <w:sz w:val="24"/>
          <w:szCs w:val="24"/>
        </w:rPr>
        <w:t xml:space="preserve"> </w:t>
      </w:r>
    </w:p>
    <w:p>
      <w:pPr>
        <w:tabs>
          <w:tab w:val="left" w:pos="7740"/>
        </w:tabs>
        <w:adjustRightInd w:val="0"/>
        <w:snapToGrid w:val="0"/>
        <w:spacing w:line="360" w:lineRule="auto"/>
        <w:ind w:firstLine="480" w:firstLineChars="200"/>
        <w:rPr>
          <w:rFonts w:ascii="宋体" w:hAnsi="宋体" w:cs="宋体"/>
          <w:bCs/>
          <w:sz w:val="24"/>
          <w:szCs w:val="24"/>
        </w:rPr>
      </w:pPr>
    </w:p>
    <w:p>
      <w:pPr>
        <w:tabs>
          <w:tab w:val="left" w:pos="7740"/>
        </w:tabs>
        <w:adjustRightInd w:val="0"/>
        <w:snapToGrid w:val="0"/>
        <w:spacing w:line="360" w:lineRule="auto"/>
        <w:ind w:firstLine="2671" w:firstLineChars="1113"/>
        <w:rPr>
          <w:rFonts w:ascii="宋体" w:hAnsi="宋体" w:cs="宋体"/>
          <w:bCs/>
          <w:sz w:val="24"/>
          <w:szCs w:val="24"/>
        </w:rPr>
      </w:pPr>
    </w:p>
    <w:p>
      <w:pPr>
        <w:adjustRightInd w:val="0"/>
        <w:snapToGrid w:val="0"/>
        <w:spacing w:line="360" w:lineRule="auto"/>
        <w:rPr>
          <w:rFonts w:ascii="宋体" w:hAnsi="宋体" w:cs="宋体"/>
          <w:sz w:val="24"/>
          <w:szCs w:val="24"/>
        </w:rPr>
      </w:pPr>
    </w:p>
    <w:p>
      <w:pPr>
        <w:pStyle w:val="125"/>
        <w:ind w:firstLine="0"/>
        <w:rPr>
          <w:rFonts w:ascii="宋体" w:hAnsi="宋体" w:cs="宋体"/>
          <w:sz w:val="24"/>
          <w:szCs w:val="24"/>
        </w:rPr>
      </w:pPr>
    </w:p>
    <w:p>
      <w:pPr>
        <w:pStyle w:val="52"/>
        <w:spacing w:before="0" w:after="0" w:line="360" w:lineRule="auto"/>
        <w:rPr>
          <w:rFonts w:ascii="宋体" w:hAnsi="宋体" w:eastAsia="宋体" w:cs="Times New Roman"/>
          <w:snapToGrid w:val="0"/>
          <w:kern w:val="0"/>
          <w:sz w:val="44"/>
          <w:szCs w:val="20"/>
        </w:rPr>
      </w:pPr>
      <w:bookmarkStart w:id="1" w:name="OLE_LINK1"/>
      <w:r>
        <w:rPr>
          <w:rFonts w:hint="eastAsia" w:ascii="宋体" w:hAnsi="宋体" w:eastAsia="宋体" w:cs="宋体"/>
          <w:sz w:val="24"/>
        </w:rPr>
        <w:br w:type="page"/>
      </w:r>
      <w:bookmarkStart w:id="2" w:name="_Toc19329"/>
      <w:r>
        <w:rPr>
          <w:rFonts w:hint="eastAsia" w:ascii="宋体" w:hAnsi="宋体" w:eastAsia="宋体" w:cs="Times New Roman"/>
          <w:snapToGrid w:val="0"/>
          <w:kern w:val="0"/>
          <w:sz w:val="44"/>
          <w:szCs w:val="20"/>
        </w:rPr>
        <w:t>第一章 招标公告</w:t>
      </w:r>
      <w:bookmarkEnd w:id="2"/>
    </w:p>
    <w:p>
      <w:pPr>
        <w:snapToGrid w:val="0"/>
        <w:spacing w:line="360" w:lineRule="auto"/>
        <w:ind w:firstLine="480" w:firstLineChars="200"/>
        <w:contextualSpacing/>
        <w:rPr>
          <w:rFonts w:ascii="宋体" w:hAnsi="宋体" w:cs="宋体"/>
          <w:sz w:val="24"/>
          <w:szCs w:val="24"/>
          <w:lang w:val="zh-CN"/>
        </w:rPr>
      </w:pPr>
      <w:r>
        <w:rPr>
          <w:rFonts w:hint="eastAsia" w:ascii="宋体" w:hAnsi="宋体" w:cs="宋体"/>
          <w:sz w:val="24"/>
          <w:szCs w:val="24"/>
          <w:lang w:val="zh-CN"/>
        </w:rPr>
        <w:t>扬州市嘉诚造价咨询有限公司（以下简称“招标代理”）受扬州市民卡有限责任公司（以下简称“采购人”）的委托，就华侨城梦幻之城售票平台项目进行招标采购，现采用公开招标方式，符合资格条件的供应商均可参与投标。现公告如下：</w:t>
      </w:r>
    </w:p>
    <w:p>
      <w:pPr>
        <w:snapToGrid w:val="0"/>
        <w:spacing w:line="360" w:lineRule="auto"/>
        <w:ind w:firstLine="555"/>
        <w:contextualSpacing/>
        <w:rPr>
          <w:rFonts w:ascii="宋体" w:hAnsi="宋体" w:cs="宋体"/>
          <w:sz w:val="24"/>
          <w:szCs w:val="24"/>
        </w:rPr>
      </w:pPr>
      <w:r>
        <w:rPr>
          <w:rFonts w:hint="eastAsia" w:ascii="宋体" w:hAnsi="宋体" w:cs="宋体"/>
          <w:b/>
          <w:sz w:val="24"/>
          <w:szCs w:val="24"/>
        </w:rPr>
        <w:t>一、项目名称及编号</w:t>
      </w:r>
      <w:r>
        <w:rPr>
          <w:rFonts w:hint="eastAsia" w:ascii="宋体" w:hAnsi="宋体" w:cs="宋体"/>
          <w:sz w:val="24"/>
          <w:szCs w:val="24"/>
        </w:rPr>
        <w:t>：</w:t>
      </w:r>
    </w:p>
    <w:p>
      <w:pPr>
        <w:snapToGrid w:val="0"/>
        <w:spacing w:line="360" w:lineRule="auto"/>
        <w:ind w:firstLine="480" w:firstLineChars="200"/>
        <w:contextualSpacing/>
        <w:rPr>
          <w:rFonts w:ascii="宋体" w:hAnsi="宋体" w:cs="宋体"/>
          <w:sz w:val="24"/>
          <w:szCs w:val="24"/>
        </w:rPr>
      </w:pPr>
      <w:r>
        <w:rPr>
          <w:rFonts w:hint="eastAsia" w:ascii="宋体" w:hAnsi="宋体" w:cs="宋体"/>
          <w:sz w:val="24"/>
          <w:szCs w:val="24"/>
        </w:rPr>
        <w:t>项目名称：</w:t>
      </w:r>
      <w:r>
        <w:rPr>
          <w:rFonts w:hint="eastAsia" w:ascii="宋体" w:hAnsi="宋体" w:cs="宋体"/>
          <w:sz w:val="24"/>
          <w:szCs w:val="24"/>
          <w:u w:val="single"/>
          <w:lang w:val="zh-CN"/>
        </w:rPr>
        <w:t>华侨城梦幻之城售票平台项目。</w:t>
      </w:r>
    </w:p>
    <w:p>
      <w:pPr>
        <w:snapToGrid w:val="0"/>
        <w:spacing w:line="360" w:lineRule="auto"/>
        <w:ind w:firstLine="470" w:firstLineChars="196"/>
        <w:contextualSpacing/>
        <w:rPr>
          <w:rFonts w:hint="eastAsia" w:ascii="宋体" w:hAnsi="宋体" w:eastAsia="宋体" w:cs="宋体"/>
          <w:color w:val="auto"/>
          <w:sz w:val="24"/>
          <w:szCs w:val="24"/>
          <w:lang w:val="en-US" w:eastAsia="zh-CN"/>
        </w:rPr>
      </w:pPr>
      <w:r>
        <w:rPr>
          <w:rFonts w:hint="eastAsia" w:ascii="宋体" w:hAnsi="宋体" w:cs="宋体"/>
          <w:color w:val="auto"/>
          <w:sz w:val="24"/>
          <w:szCs w:val="24"/>
        </w:rPr>
        <w:t>采购文件编号：</w:t>
      </w:r>
      <w:r>
        <w:rPr>
          <w:rFonts w:hint="eastAsia" w:ascii="宋体" w:hAnsi="宋体" w:cs="宋体"/>
          <w:color w:val="auto"/>
          <w:sz w:val="24"/>
          <w:szCs w:val="24"/>
          <w:lang w:val="en-US" w:eastAsia="zh-CN"/>
        </w:rPr>
        <w:t>/</w:t>
      </w:r>
    </w:p>
    <w:p>
      <w:pPr>
        <w:snapToGrid w:val="0"/>
        <w:spacing w:line="360" w:lineRule="auto"/>
        <w:ind w:firstLine="482" w:firstLineChars="200"/>
        <w:contextualSpacing/>
        <w:rPr>
          <w:rFonts w:ascii="宋体" w:hAnsi="宋体" w:cs="宋体"/>
          <w:b/>
          <w:sz w:val="24"/>
          <w:szCs w:val="24"/>
        </w:rPr>
      </w:pPr>
      <w:r>
        <w:rPr>
          <w:rFonts w:hint="eastAsia" w:ascii="宋体" w:hAnsi="宋体" w:cs="宋体"/>
          <w:b/>
          <w:sz w:val="24"/>
          <w:szCs w:val="24"/>
        </w:rPr>
        <w:t>二、项目基本情况：</w:t>
      </w:r>
    </w:p>
    <w:p>
      <w:pPr>
        <w:snapToGrid w:val="0"/>
        <w:spacing w:line="360" w:lineRule="auto"/>
        <w:ind w:firstLine="480" w:firstLineChars="200"/>
        <w:contextualSpacing/>
        <w:rPr>
          <w:rFonts w:ascii="宋体" w:hAnsi="宋体" w:cs="宋体"/>
          <w:sz w:val="24"/>
          <w:szCs w:val="24"/>
        </w:rPr>
      </w:pPr>
      <w:r>
        <w:rPr>
          <w:rFonts w:hint="eastAsia" w:ascii="宋体" w:hAnsi="宋体" w:cs="宋体"/>
          <w:sz w:val="24"/>
          <w:szCs w:val="24"/>
        </w:rPr>
        <w:t>1、本项目采购招标控制价：</w:t>
      </w:r>
      <w:r>
        <w:rPr>
          <w:rFonts w:hint="eastAsia" w:ascii="宋体" w:hAnsi="宋体" w:cs="宋体"/>
          <w:color w:val="FF0000"/>
          <w:sz w:val="24"/>
          <w:szCs w:val="24"/>
          <w:u w:val="single"/>
        </w:rPr>
        <w:t>本项目设置最高限价13.5万元</w:t>
      </w:r>
      <w:r>
        <w:rPr>
          <w:rFonts w:hint="eastAsia" w:ascii="宋体" w:hAnsi="宋体" w:cs="宋体"/>
          <w:sz w:val="24"/>
          <w:szCs w:val="24"/>
        </w:rPr>
        <w:t>。</w:t>
      </w:r>
    </w:p>
    <w:p>
      <w:pPr>
        <w:snapToGrid w:val="0"/>
        <w:spacing w:line="360" w:lineRule="auto"/>
        <w:ind w:firstLine="480" w:firstLineChars="200"/>
        <w:contextualSpacing/>
        <w:rPr>
          <w:rFonts w:ascii="宋体" w:hAnsi="宋体" w:cs="宋体"/>
          <w:sz w:val="24"/>
          <w:szCs w:val="24"/>
        </w:rPr>
      </w:pPr>
      <w:r>
        <w:rPr>
          <w:rFonts w:hint="eastAsia" w:ascii="宋体" w:hAnsi="宋体" w:cs="宋体"/>
          <w:sz w:val="24"/>
          <w:szCs w:val="24"/>
        </w:rPr>
        <w:t>2、项目建设履行期限：</w:t>
      </w:r>
      <w:r>
        <w:rPr>
          <w:rFonts w:hint="eastAsia" w:ascii="宋体" w:hAnsi="宋体" w:cs="宋体"/>
          <w:sz w:val="24"/>
          <w:szCs w:val="24"/>
          <w:u w:val="single"/>
        </w:rPr>
        <w:t>合同约定时间</w:t>
      </w:r>
      <w:r>
        <w:rPr>
          <w:rFonts w:hint="eastAsia" w:ascii="宋体" w:hAnsi="宋体" w:cs="宋体"/>
          <w:sz w:val="24"/>
          <w:szCs w:val="24"/>
        </w:rPr>
        <w:t>。</w:t>
      </w:r>
    </w:p>
    <w:p>
      <w:pPr>
        <w:snapToGrid w:val="0"/>
        <w:spacing w:line="360" w:lineRule="auto"/>
        <w:ind w:firstLine="480" w:firstLineChars="200"/>
        <w:contextualSpacing/>
        <w:rPr>
          <w:rFonts w:ascii="宋体" w:hAnsi="宋体" w:cs="宋体"/>
          <w:sz w:val="24"/>
          <w:szCs w:val="24"/>
        </w:rPr>
      </w:pPr>
      <w:r>
        <w:rPr>
          <w:rFonts w:hint="eastAsia" w:ascii="宋体" w:hAnsi="宋体" w:cs="宋体"/>
          <w:sz w:val="24"/>
          <w:szCs w:val="24"/>
        </w:rPr>
        <w:t>3、本项目</w:t>
      </w:r>
      <w:r>
        <w:rPr>
          <w:rFonts w:hint="eastAsia" w:ascii="宋体" w:hAnsi="宋体" w:cs="宋体"/>
          <w:b/>
          <w:bCs/>
          <w:sz w:val="24"/>
          <w:szCs w:val="24"/>
          <w:u w:val="single"/>
        </w:rPr>
        <w:t>不接受</w:t>
      </w:r>
      <w:r>
        <w:rPr>
          <w:rFonts w:hint="eastAsia" w:ascii="宋体" w:hAnsi="宋体" w:cs="宋体"/>
          <w:sz w:val="24"/>
          <w:szCs w:val="24"/>
        </w:rPr>
        <w:t>联合体。</w:t>
      </w:r>
    </w:p>
    <w:p>
      <w:pPr>
        <w:snapToGrid w:val="0"/>
        <w:spacing w:line="360" w:lineRule="auto"/>
        <w:ind w:firstLine="482" w:firstLineChars="200"/>
        <w:contextualSpacing/>
        <w:rPr>
          <w:rFonts w:ascii="宋体" w:hAnsi="宋体" w:cs="宋体"/>
          <w:b/>
          <w:sz w:val="24"/>
          <w:szCs w:val="24"/>
        </w:rPr>
      </w:pPr>
      <w:r>
        <w:rPr>
          <w:rFonts w:hint="eastAsia" w:ascii="宋体" w:hAnsi="宋体" w:cs="宋体"/>
          <w:b/>
          <w:sz w:val="24"/>
          <w:szCs w:val="24"/>
        </w:rPr>
        <w:t>三、项目需求说明：</w:t>
      </w:r>
    </w:p>
    <w:p>
      <w:pPr>
        <w:snapToGrid w:val="0"/>
        <w:spacing w:line="360" w:lineRule="auto"/>
        <w:ind w:firstLine="480" w:firstLineChars="200"/>
        <w:contextualSpacing/>
        <w:rPr>
          <w:rFonts w:ascii="宋体" w:hAnsi="宋体" w:cs="宋体"/>
          <w:sz w:val="24"/>
          <w:szCs w:val="24"/>
        </w:rPr>
      </w:pPr>
      <w:r>
        <w:rPr>
          <w:rFonts w:hint="eastAsia" w:ascii="宋体" w:hAnsi="宋体" w:cs="宋体"/>
          <w:sz w:val="24"/>
          <w:szCs w:val="24"/>
        </w:rPr>
        <w:t>项目需求说明详</w:t>
      </w:r>
      <w:r>
        <w:rPr>
          <w:rFonts w:hint="eastAsia" w:ascii="宋体" w:hAnsi="宋体" w:cs="宋体"/>
          <w:sz w:val="24"/>
          <w:szCs w:val="24"/>
          <w:lang w:val="zh-CN"/>
        </w:rPr>
        <w:t>见第三部分项目需求，</w:t>
      </w:r>
      <w:r>
        <w:rPr>
          <w:rFonts w:hint="eastAsia" w:ascii="宋体" w:hAnsi="宋体" w:cs="宋体"/>
          <w:kern w:val="0"/>
          <w:sz w:val="24"/>
          <w:szCs w:val="24"/>
          <w:lang w:val="zh-CN"/>
        </w:rPr>
        <w:t>请仔细研究。</w:t>
      </w:r>
    </w:p>
    <w:p>
      <w:pPr>
        <w:snapToGrid w:val="0"/>
        <w:spacing w:line="360" w:lineRule="auto"/>
        <w:ind w:firstLine="482" w:firstLineChars="200"/>
        <w:contextualSpacing/>
        <w:rPr>
          <w:rFonts w:ascii="宋体" w:hAnsi="宋体" w:cs="宋体"/>
          <w:sz w:val="24"/>
          <w:szCs w:val="24"/>
        </w:rPr>
      </w:pPr>
      <w:r>
        <w:rPr>
          <w:rFonts w:hint="eastAsia" w:ascii="宋体" w:hAnsi="宋体" w:cs="宋体"/>
          <w:b/>
          <w:sz w:val="24"/>
          <w:szCs w:val="24"/>
        </w:rPr>
        <w:t>四、供应商资格要求</w:t>
      </w:r>
    </w:p>
    <w:p>
      <w:pPr>
        <w:snapToGrid w:val="0"/>
        <w:spacing w:line="360" w:lineRule="auto"/>
        <w:ind w:firstLine="480" w:firstLineChars="200"/>
        <w:contextualSpacing/>
        <w:rPr>
          <w:rFonts w:ascii="宋体" w:hAnsi="宋体" w:cs="宋体"/>
          <w:sz w:val="24"/>
          <w:szCs w:val="24"/>
        </w:rPr>
      </w:pPr>
      <w:r>
        <w:rPr>
          <w:rFonts w:hint="eastAsia" w:ascii="宋体" w:hAnsi="宋体" w:cs="宋体"/>
          <w:sz w:val="24"/>
          <w:szCs w:val="24"/>
        </w:rPr>
        <w:t>（一）符合《政府采购法》第二十二条第一款规定的条件，并提供下列材料：</w:t>
      </w:r>
    </w:p>
    <w:p>
      <w:pPr>
        <w:spacing w:line="360" w:lineRule="auto"/>
        <w:ind w:firstLine="480" w:firstLineChars="200"/>
        <w:jc w:val="left"/>
        <w:rPr>
          <w:rFonts w:ascii="宋体" w:hAnsi="宋体" w:cs="宋体"/>
          <w:color w:val="000000"/>
          <w:sz w:val="24"/>
          <w:szCs w:val="24"/>
          <w:u w:val="single"/>
        </w:rPr>
      </w:pPr>
      <w:bookmarkStart w:id="3" w:name="_Hlk49243416"/>
      <w:r>
        <w:rPr>
          <w:rFonts w:hint="eastAsia" w:ascii="宋体" w:hAnsi="宋体" w:cs="宋体"/>
          <w:color w:val="000000"/>
          <w:sz w:val="24"/>
          <w:szCs w:val="24"/>
          <w:u w:val="single"/>
        </w:rPr>
        <w:t>（1）投标函</w:t>
      </w:r>
      <w:r>
        <w:rPr>
          <w:rFonts w:hint="eastAsia" w:ascii="宋体" w:hAnsi="宋体" w:cs="宋体"/>
          <w:b/>
          <w:color w:val="000000"/>
          <w:sz w:val="24"/>
          <w:szCs w:val="24"/>
          <w:u w:val="single"/>
        </w:rPr>
        <w:t xml:space="preserve">(原件) </w:t>
      </w:r>
    </w:p>
    <w:p>
      <w:pPr>
        <w:spacing w:line="360" w:lineRule="auto"/>
        <w:ind w:firstLine="480" w:firstLineChars="200"/>
        <w:jc w:val="left"/>
        <w:rPr>
          <w:rFonts w:ascii="宋体" w:hAnsi="宋体" w:cs="宋体"/>
          <w:color w:val="000000"/>
          <w:sz w:val="24"/>
          <w:szCs w:val="24"/>
          <w:u w:val="single"/>
        </w:rPr>
      </w:pPr>
      <w:r>
        <w:rPr>
          <w:rFonts w:hint="eastAsia" w:ascii="宋体" w:hAnsi="宋体" w:cs="宋体"/>
          <w:color w:val="000000"/>
          <w:sz w:val="24"/>
          <w:szCs w:val="24"/>
          <w:u w:val="single"/>
        </w:rPr>
        <w:t>（2）资格声明</w:t>
      </w:r>
      <w:r>
        <w:rPr>
          <w:rFonts w:hint="eastAsia" w:ascii="宋体" w:hAnsi="宋体" w:cs="宋体"/>
          <w:b/>
          <w:bCs/>
          <w:color w:val="000000"/>
          <w:sz w:val="24"/>
          <w:szCs w:val="24"/>
          <w:u w:val="single"/>
        </w:rPr>
        <w:t>(原件)</w:t>
      </w:r>
    </w:p>
    <w:p>
      <w:pPr>
        <w:spacing w:line="360" w:lineRule="auto"/>
        <w:ind w:firstLine="480" w:firstLineChars="200"/>
        <w:jc w:val="left"/>
        <w:rPr>
          <w:rFonts w:ascii="宋体" w:hAnsi="宋体" w:cs="宋体"/>
          <w:color w:val="000000"/>
          <w:sz w:val="24"/>
          <w:szCs w:val="24"/>
          <w:u w:val="single"/>
        </w:rPr>
      </w:pPr>
      <w:r>
        <w:rPr>
          <w:rFonts w:hint="eastAsia" w:ascii="宋体" w:hAnsi="宋体" w:cs="宋体"/>
          <w:color w:val="000000"/>
          <w:sz w:val="24"/>
          <w:szCs w:val="24"/>
          <w:u w:val="single"/>
        </w:rPr>
        <w:t>（3）若法定代表人参加投标的，须提供本人身份证复印件；若授权代表参加的，须提供《法人授权书》原件和授权代表身份证复印件。</w:t>
      </w:r>
    </w:p>
    <w:p>
      <w:pPr>
        <w:spacing w:line="360" w:lineRule="auto"/>
        <w:ind w:firstLine="480" w:firstLineChars="200"/>
        <w:jc w:val="left"/>
        <w:rPr>
          <w:sz w:val="24"/>
          <w:szCs w:val="24"/>
        </w:rPr>
      </w:pPr>
      <w:r>
        <w:rPr>
          <w:rFonts w:hint="eastAsia" w:ascii="宋体" w:hAnsi="宋体" w:cs="宋体"/>
          <w:color w:val="000000"/>
          <w:sz w:val="24"/>
          <w:szCs w:val="24"/>
          <w:u w:val="single"/>
        </w:rPr>
        <w:t>（4）营业执照副本</w:t>
      </w:r>
      <w:r>
        <w:rPr>
          <w:rFonts w:hint="eastAsia" w:ascii="宋体" w:hAnsi="宋体" w:cs="宋体"/>
          <w:b/>
          <w:bCs/>
          <w:color w:val="000000"/>
          <w:sz w:val="24"/>
          <w:szCs w:val="24"/>
          <w:u w:val="single"/>
        </w:rPr>
        <w:t xml:space="preserve">(复印件加盖供应商公章) </w:t>
      </w:r>
    </w:p>
    <w:p>
      <w:pPr>
        <w:spacing w:line="360" w:lineRule="auto"/>
        <w:ind w:firstLine="480" w:firstLineChars="200"/>
        <w:jc w:val="left"/>
        <w:rPr>
          <w:rFonts w:ascii="宋体" w:hAnsi="宋体" w:cs="宋体"/>
          <w:bCs/>
          <w:color w:val="000000"/>
          <w:sz w:val="24"/>
          <w:szCs w:val="24"/>
          <w:u w:val="single"/>
        </w:rPr>
      </w:pPr>
      <w:r>
        <w:rPr>
          <w:rFonts w:hint="eastAsia" w:ascii="宋体" w:hAnsi="宋体" w:cs="宋体"/>
          <w:color w:val="000000"/>
          <w:sz w:val="24"/>
          <w:szCs w:val="24"/>
          <w:u w:val="single"/>
        </w:rPr>
        <w:t>（5）依法缴纳职工社会保障资金的证明材料(复印件加盖供应商公章)( 提供2021年3月-2021年5月三个月内由税务、银行或社会保险基金管理三个部门中任意一部门出具的连续三个月缴纳职工社会保障资金的缴款凭证或缴款证明)</w:t>
      </w:r>
    </w:p>
    <w:p>
      <w:pPr>
        <w:spacing w:line="360" w:lineRule="auto"/>
        <w:ind w:firstLine="480" w:firstLineChars="200"/>
        <w:jc w:val="left"/>
        <w:rPr>
          <w:rFonts w:ascii="宋体" w:hAnsi="宋体" w:cs="宋体"/>
          <w:color w:val="000000"/>
          <w:sz w:val="24"/>
          <w:szCs w:val="24"/>
          <w:u w:val="single"/>
        </w:rPr>
      </w:pPr>
      <w:r>
        <w:rPr>
          <w:rFonts w:hint="eastAsia" w:ascii="宋体" w:hAnsi="宋体" w:cs="宋体"/>
          <w:color w:val="000000"/>
          <w:sz w:val="24"/>
          <w:szCs w:val="24"/>
          <w:u w:val="single"/>
        </w:rPr>
        <w:t>（6）供应商202</w:t>
      </w:r>
      <w:r>
        <w:rPr>
          <w:rFonts w:ascii="宋体" w:hAnsi="宋体" w:cs="宋体"/>
          <w:color w:val="000000"/>
          <w:sz w:val="24"/>
          <w:szCs w:val="24"/>
          <w:u w:val="single"/>
        </w:rPr>
        <w:t>1</w:t>
      </w:r>
      <w:r>
        <w:rPr>
          <w:rFonts w:hint="eastAsia" w:ascii="宋体" w:hAnsi="宋体" w:cs="宋体"/>
          <w:color w:val="000000"/>
          <w:sz w:val="24"/>
          <w:szCs w:val="24"/>
          <w:u w:val="single"/>
        </w:rPr>
        <w:t>年3月-2021年5月三个月内任意一份依法纳税的缴款凭证</w:t>
      </w:r>
      <w:r>
        <w:rPr>
          <w:rFonts w:hint="eastAsia" w:ascii="宋体" w:hAnsi="宋体" w:cs="宋体"/>
          <w:b/>
          <w:bCs/>
          <w:color w:val="000000"/>
          <w:sz w:val="24"/>
          <w:szCs w:val="24"/>
          <w:u w:val="single"/>
        </w:rPr>
        <w:t>(复印件加盖供应商公章)</w:t>
      </w:r>
    </w:p>
    <w:p>
      <w:pPr>
        <w:spacing w:line="360" w:lineRule="auto"/>
        <w:ind w:firstLine="480" w:firstLineChars="200"/>
        <w:jc w:val="left"/>
        <w:rPr>
          <w:rFonts w:ascii="宋体" w:hAnsi="宋体" w:cs="宋体"/>
          <w:b/>
          <w:bCs/>
          <w:color w:val="000000"/>
          <w:sz w:val="24"/>
          <w:szCs w:val="24"/>
          <w:u w:val="single"/>
        </w:rPr>
      </w:pPr>
      <w:r>
        <w:rPr>
          <w:rFonts w:hint="eastAsia" w:ascii="宋体" w:hAnsi="宋体" w:cs="宋体"/>
          <w:color w:val="000000"/>
          <w:sz w:val="24"/>
          <w:szCs w:val="24"/>
          <w:u w:val="single"/>
        </w:rPr>
        <w:t>（7）与第（6）条相对应的纳税申报表或经会计师事务所审计的</w:t>
      </w:r>
      <w:r>
        <w:rPr>
          <w:rFonts w:ascii="宋体" w:hAnsi="宋体" w:cs="宋体"/>
          <w:color w:val="000000"/>
          <w:sz w:val="24"/>
          <w:szCs w:val="24"/>
          <w:u w:val="single"/>
        </w:rPr>
        <w:t>2020</w:t>
      </w:r>
      <w:r>
        <w:rPr>
          <w:rFonts w:hint="eastAsia" w:ascii="宋体" w:hAnsi="宋体" w:cs="宋体"/>
          <w:color w:val="000000"/>
          <w:sz w:val="24"/>
          <w:szCs w:val="24"/>
          <w:u w:val="single"/>
        </w:rPr>
        <w:t>年度财务报告</w:t>
      </w:r>
      <w:r>
        <w:rPr>
          <w:rFonts w:hint="eastAsia" w:ascii="宋体" w:hAnsi="宋体" w:cs="宋体"/>
          <w:b/>
          <w:bCs/>
          <w:color w:val="000000"/>
          <w:sz w:val="24"/>
          <w:szCs w:val="24"/>
          <w:u w:val="single"/>
        </w:rPr>
        <w:t xml:space="preserve"> (</w:t>
      </w:r>
      <w:r>
        <w:rPr>
          <w:rFonts w:hint="eastAsia" w:ascii="宋体" w:hAnsi="宋体" w:cs="宋体"/>
          <w:sz w:val="24"/>
          <w:szCs w:val="24"/>
        </w:rPr>
        <w:t>提供</w:t>
      </w:r>
      <w:r>
        <w:rPr>
          <w:rFonts w:hint="eastAsia" w:ascii="宋体" w:hAnsi="宋体" w:cs="宋体"/>
          <w:b/>
          <w:bCs/>
          <w:color w:val="000000"/>
          <w:sz w:val="24"/>
          <w:szCs w:val="24"/>
          <w:u w:val="single"/>
        </w:rPr>
        <w:t>复印件加盖供应商公章)</w:t>
      </w:r>
    </w:p>
    <w:p>
      <w:pPr>
        <w:spacing w:line="360" w:lineRule="auto"/>
        <w:ind w:firstLine="480" w:firstLineChars="200"/>
        <w:jc w:val="left"/>
        <w:rPr>
          <w:rFonts w:ascii="宋体" w:hAnsi="宋体" w:cs="宋体"/>
          <w:b/>
          <w:bCs/>
          <w:color w:val="000000"/>
          <w:sz w:val="24"/>
          <w:szCs w:val="24"/>
          <w:u w:val="single"/>
        </w:rPr>
      </w:pPr>
      <w:r>
        <w:rPr>
          <w:rFonts w:hint="eastAsia" w:ascii="宋体" w:hAnsi="宋体" w:cs="宋体"/>
          <w:color w:val="000000"/>
          <w:sz w:val="24"/>
          <w:szCs w:val="24"/>
          <w:u w:val="single"/>
        </w:rPr>
        <w:t>（8）投标人政府采购活动近3年内在经营活动中没有重大违法记录的书面声明</w:t>
      </w:r>
      <w:r>
        <w:rPr>
          <w:rFonts w:hint="eastAsia" w:ascii="宋体" w:hAnsi="宋体" w:cs="宋体"/>
          <w:b/>
          <w:bCs/>
          <w:color w:val="000000"/>
          <w:sz w:val="24"/>
          <w:szCs w:val="24"/>
          <w:u w:val="single"/>
        </w:rPr>
        <w:t>（原件）</w:t>
      </w:r>
    </w:p>
    <w:bookmarkEnd w:id="3"/>
    <w:p>
      <w:pPr>
        <w:snapToGrid w:val="0"/>
        <w:spacing w:line="360" w:lineRule="auto"/>
        <w:ind w:firstLine="480" w:firstLineChars="200"/>
        <w:contextualSpacing/>
        <w:rPr>
          <w:rFonts w:ascii="宋体" w:hAnsi="宋体" w:cs="宋体"/>
          <w:sz w:val="24"/>
          <w:szCs w:val="24"/>
        </w:rPr>
      </w:pPr>
      <w:r>
        <w:rPr>
          <w:rFonts w:hint="eastAsia" w:ascii="宋体" w:hAnsi="宋体" w:cs="宋体"/>
          <w:sz w:val="24"/>
          <w:szCs w:val="24"/>
        </w:rPr>
        <w:t>（二）采购人其他要求：</w:t>
      </w:r>
    </w:p>
    <w:p>
      <w:pPr>
        <w:autoSpaceDE w:val="0"/>
        <w:autoSpaceDN w:val="0"/>
        <w:adjustRightInd w:val="0"/>
        <w:snapToGrid w:val="0"/>
        <w:spacing w:line="360" w:lineRule="auto"/>
        <w:ind w:firstLine="465"/>
        <w:contextualSpacing/>
        <w:jc w:val="left"/>
        <w:rPr>
          <w:rFonts w:ascii="宋体" w:hAnsi="宋体" w:cs="宋体"/>
          <w:sz w:val="24"/>
          <w:szCs w:val="24"/>
        </w:rPr>
      </w:pPr>
      <w:r>
        <w:rPr>
          <w:rFonts w:hint="eastAsia" w:ascii="宋体" w:hAnsi="宋体" w:cs="宋体"/>
          <w:sz w:val="24"/>
          <w:szCs w:val="24"/>
        </w:rPr>
        <w:t>项目</w:t>
      </w:r>
      <w:r>
        <w:rPr>
          <w:rFonts w:hint="eastAsia" w:ascii="宋体" w:hAnsi="宋体" w:cs="宋体"/>
          <w:b/>
          <w:bCs/>
          <w:sz w:val="24"/>
          <w:szCs w:val="24"/>
          <w:u w:val="single"/>
        </w:rPr>
        <w:t>不接受</w:t>
      </w:r>
      <w:r>
        <w:rPr>
          <w:rFonts w:hint="eastAsia" w:ascii="宋体" w:hAnsi="宋体" w:cs="宋体"/>
          <w:sz w:val="24"/>
          <w:szCs w:val="24"/>
        </w:rPr>
        <w:t>联合体形式的投标及任何形式的分包或转包。</w:t>
      </w:r>
    </w:p>
    <w:p>
      <w:pPr>
        <w:snapToGrid w:val="0"/>
        <w:spacing w:line="360" w:lineRule="auto"/>
        <w:ind w:firstLine="555"/>
        <w:contextualSpacing/>
        <w:rPr>
          <w:rFonts w:ascii="宋体" w:hAnsi="宋体" w:cs="宋体"/>
          <w:b/>
          <w:sz w:val="24"/>
          <w:szCs w:val="24"/>
        </w:rPr>
      </w:pPr>
      <w:r>
        <w:rPr>
          <w:rFonts w:hint="eastAsia" w:ascii="宋体" w:hAnsi="宋体" w:cs="宋体"/>
          <w:b/>
          <w:sz w:val="24"/>
          <w:szCs w:val="24"/>
        </w:rPr>
        <w:t>五、公告期限</w:t>
      </w:r>
    </w:p>
    <w:p>
      <w:pPr>
        <w:snapToGrid w:val="0"/>
        <w:spacing w:line="360" w:lineRule="auto"/>
        <w:ind w:firstLine="555"/>
        <w:contextualSpacing/>
        <w:rPr>
          <w:rFonts w:ascii="宋体" w:hAnsi="宋体" w:cs="宋体"/>
          <w:sz w:val="24"/>
          <w:szCs w:val="24"/>
        </w:rPr>
      </w:pPr>
      <w:r>
        <w:rPr>
          <w:rFonts w:hint="eastAsia" w:ascii="宋体" w:hAnsi="宋体" w:cs="宋体"/>
          <w:sz w:val="24"/>
          <w:szCs w:val="24"/>
        </w:rPr>
        <w:t>自公告在“</w:t>
      </w:r>
      <w:r>
        <w:rPr>
          <w:rFonts w:hint="eastAsia" w:ascii="宋体" w:hAnsi="宋体" w:cs="宋体"/>
          <w:sz w:val="24"/>
          <w:szCs w:val="24"/>
          <w:u w:val="single"/>
        </w:rPr>
        <w:t>扬州市城建国有资产控股(集团）有限责任公司</w:t>
      </w:r>
      <w:r>
        <w:rPr>
          <w:rFonts w:hint="eastAsia" w:ascii="宋体" w:hAnsi="宋体" w:cs="宋体"/>
          <w:sz w:val="24"/>
          <w:szCs w:val="24"/>
        </w:rPr>
        <w:t>”网站发布之日起5日。</w:t>
      </w:r>
    </w:p>
    <w:p>
      <w:pPr>
        <w:spacing w:line="360" w:lineRule="auto"/>
        <w:ind w:firstLine="482" w:firstLineChars="200"/>
        <w:rPr>
          <w:rFonts w:ascii="宋体" w:hAnsi="宋体" w:cs="宋体"/>
          <w:b/>
          <w:bCs/>
          <w:color w:val="000000"/>
          <w:sz w:val="24"/>
          <w:szCs w:val="24"/>
        </w:rPr>
      </w:pPr>
      <w:bookmarkStart w:id="4" w:name="_Toc28359004"/>
      <w:bookmarkStart w:id="5" w:name="_Toc35393792"/>
      <w:bookmarkStart w:id="6" w:name="_Toc28359081"/>
      <w:bookmarkStart w:id="7" w:name="_Toc35393623"/>
      <w:r>
        <w:rPr>
          <w:rFonts w:hint="eastAsia" w:ascii="宋体" w:hAnsi="宋体" w:cs="宋体"/>
          <w:b/>
          <w:bCs/>
          <w:color w:val="000000"/>
          <w:sz w:val="24"/>
          <w:szCs w:val="24"/>
        </w:rPr>
        <w:t>六、获取招标文件</w:t>
      </w:r>
      <w:bookmarkEnd w:id="4"/>
      <w:bookmarkEnd w:id="5"/>
      <w:bookmarkEnd w:id="6"/>
      <w:bookmarkEnd w:id="7"/>
    </w:p>
    <w:p>
      <w:pPr>
        <w:adjustRightInd w:val="0"/>
        <w:snapToGrid w:val="0"/>
        <w:spacing w:line="360" w:lineRule="auto"/>
        <w:ind w:firstLine="480" w:firstLineChars="200"/>
        <w:rPr>
          <w:rFonts w:ascii="宋体" w:hAnsi="宋体" w:cs="宋体"/>
          <w:iCs/>
          <w:sz w:val="24"/>
          <w:szCs w:val="24"/>
          <w:u w:val="single"/>
        </w:rPr>
      </w:pPr>
      <w:r>
        <w:rPr>
          <w:rFonts w:hint="eastAsia" w:ascii="宋体" w:hAnsi="宋体" w:cs="宋体"/>
          <w:iCs/>
          <w:sz w:val="24"/>
          <w:szCs w:val="24"/>
        </w:rPr>
        <w:t>获取时间：</w:t>
      </w:r>
      <w:r>
        <w:rPr>
          <w:rFonts w:hint="eastAsia" w:ascii="宋体" w:hAnsi="宋体" w:cs="宋体"/>
          <w:iCs/>
          <w:sz w:val="24"/>
          <w:szCs w:val="24"/>
          <w:u w:val="single"/>
        </w:rPr>
        <w:t xml:space="preserve">2021年 </w:t>
      </w:r>
      <w:r>
        <w:rPr>
          <w:rFonts w:hint="eastAsia" w:ascii="宋体" w:hAnsi="宋体" w:cs="宋体"/>
          <w:iCs/>
          <w:sz w:val="24"/>
          <w:szCs w:val="24"/>
          <w:u w:val="single"/>
          <w:lang w:val="en-US" w:eastAsia="zh-CN"/>
        </w:rPr>
        <w:t>6</w:t>
      </w:r>
      <w:r>
        <w:rPr>
          <w:rFonts w:hint="eastAsia" w:ascii="宋体" w:hAnsi="宋体" w:cs="宋体"/>
          <w:iCs/>
          <w:sz w:val="24"/>
          <w:szCs w:val="24"/>
          <w:u w:val="single"/>
        </w:rPr>
        <w:t>月</w:t>
      </w:r>
      <w:r>
        <w:rPr>
          <w:rFonts w:hint="eastAsia" w:ascii="宋体" w:hAnsi="宋体" w:cs="宋体"/>
          <w:iCs/>
          <w:sz w:val="24"/>
          <w:szCs w:val="24"/>
          <w:u w:val="single"/>
          <w:lang w:val="en-US" w:eastAsia="zh-CN"/>
        </w:rPr>
        <w:t>18</w:t>
      </w:r>
      <w:r>
        <w:rPr>
          <w:rFonts w:hint="eastAsia" w:ascii="宋体" w:hAnsi="宋体" w:cs="宋体"/>
          <w:iCs/>
          <w:sz w:val="24"/>
          <w:szCs w:val="24"/>
          <w:u w:val="single"/>
        </w:rPr>
        <w:t xml:space="preserve"> 日至2021年</w:t>
      </w:r>
      <w:r>
        <w:rPr>
          <w:rFonts w:ascii="宋体" w:hAnsi="宋体" w:cs="宋体"/>
          <w:iCs/>
          <w:sz w:val="24"/>
          <w:szCs w:val="24"/>
          <w:u w:val="single"/>
        </w:rPr>
        <w:t>6</w:t>
      </w:r>
      <w:r>
        <w:rPr>
          <w:rFonts w:hint="eastAsia" w:ascii="宋体" w:hAnsi="宋体" w:cs="宋体"/>
          <w:iCs/>
          <w:sz w:val="24"/>
          <w:szCs w:val="24"/>
          <w:u w:val="single"/>
        </w:rPr>
        <w:t>月</w:t>
      </w:r>
      <w:r>
        <w:rPr>
          <w:rFonts w:hint="eastAsia" w:ascii="宋体" w:hAnsi="宋体" w:cs="宋体"/>
          <w:iCs/>
          <w:sz w:val="24"/>
          <w:szCs w:val="24"/>
          <w:u w:val="single"/>
          <w:lang w:val="en-US" w:eastAsia="zh-CN"/>
        </w:rPr>
        <w:t>24</w:t>
      </w:r>
      <w:r>
        <w:rPr>
          <w:rFonts w:hint="eastAsia" w:ascii="宋体" w:hAnsi="宋体" w:cs="宋体"/>
          <w:iCs/>
          <w:sz w:val="24"/>
          <w:szCs w:val="24"/>
          <w:u w:val="single"/>
        </w:rPr>
        <w:t>日</w:t>
      </w:r>
    </w:p>
    <w:p>
      <w:pPr>
        <w:adjustRightInd w:val="0"/>
        <w:snapToGrid w:val="0"/>
        <w:spacing w:line="360" w:lineRule="auto"/>
        <w:ind w:firstLine="480" w:firstLineChars="200"/>
        <w:rPr>
          <w:rFonts w:ascii="宋体" w:hAnsi="宋体" w:cs="宋体"/>
          <w:sz w:val="24"/>
          <w:szCs w:val="24"/>
          <w:u w:val="single"/>
        </w:rPr>
      </w:pPr>
      <w:r>
        <w:rPr>
          <w:rFonts w:hint="eastAsia" w:ascii="宋体" w:hAnsi="宋体" w:cs="宋体"/>
          <w:iCs/>
          <w:sz w:val="24"/>
          <w:szCs w:val="24"/>
        </w:rPr>
        <w:t>获取方式：</w:t>
      </w:r>
      <w:r>
        <w:rPr>
          <w:rFonts w:hint="eastAsia" w:ascii="宋体" w:hAnsi="宋体" w:cs="宋体"/>
          <w:sz w:val="24"/>
          <w:szCs w:val="24"/>
          <w:u w:val="single"/>
        </w:rPr>
        <w:t>扬州市城建国有资产控股（集团）有限责任公司网站（http://www.yzckjt.com/main.htm）自行下载。</w:t>
      </w:r>
    </w:p>
    <w:p>
      <w:pPr>
        <w:spacing w:line="360" w:lineRule="auto"/>
        <w:ind w:firstLine="480" w:firstLineChars="200"/>
        <w:rPr>
          <w:rFonts w:ascii="宋体" w:hAnsi="宋体" w:cs="宋体"/>
          <w:iCs/>
          <w:sz w:val="24"/>
          <w:szCs w:val="24"/>
        </w:rPr>
      </w:pPr>
      <w:r>
        <w:rPr>
          <w:rFonts w:hint="eastAsia" w:ascii="宋体" w:hAnsi="宋体" w:cs="宋体"/>
          <w:iCs/>
          <w:sz w:val="24"/>
          <w:szCs w:val="24"/>
        </w:rPr>
        <w:t>注：投标人获取招标文件后，需按《供应商参加投标确认函》的要求报名确认。</w:t>
      </w:r>
    </w:p>
    <w:p>
      <w:pPr>
        <w:spacing w:line="360" w:lineRule="auto"/>
        <w:ind w:firstLine="482" w:firstLineChars="200"/>
        <w:rPr>
          <w:rFonts w:ascii="宋体" w:hAnsi="宋体" w:cs="宋体"/>
          <w:b/>
          <w:bCs/>
          <w:sz w:val="24"/>
          <w:szCs w:val="24"/>
        </w:rPr>
      </w:pPr>
      <w:bookmarkStart w:id="8" w:name="_Toc28359082"/>
      <w:bookmarkStart w:id="9" w:name="_Toc28359005"/>
      <w:bookmarkStart w:id="10" w:name="_Toc35393793"/>
      <w:bookmarkStart w:id="11" w:name="_Toc35393624"/>
      <w:r>
        <w:rPr>
          <w:rFonts w:hint="eastAsia" w:ascii="宋体" w:hAnsi="宋体" w:cs="宋体"/>
          <w:b/>
          <w:bCs/>
          <w:sz w:val="24"/>
          <w:szCs w:val="24"/>
        </w:rPr>
        <w:t>七、提交投标文件</w:t>
      </w:r>
      <w:bookmarkEnd w:id="8"/>
      <w:bookmarkEnd w:id="9"/>
      <w:r>
        <w:rPr>
          <w:rFonts w:hint="eastAsia" w:ascii="宋体" w:hAnsi="宋体" w:cs="宋体"/>
          <w:b/>
          <w:bCs/>
          <w:sz w:val="24"/>
          <w:szCs w:val="24"/>
        </w:rPr>
        <w:t>截止时间和地点</w:t>
      </w:r>
      <w:bookmarkEnd w:id="10"/>
      <w:bookmarkEnd w:id="11"/>
    </w:p>
    <w:p>
      <w:pPr>
        <w:spacing w:line="360" w:lineRule="auto"/>
        <w:ind w:firstLine="480" w:firstLineChars="200"/>
        <w:rPr>
          <w:rFonts w:ascii="宋体" w:hAnsi="宋体"/>
          <w:sz w:val="24"/>
          <w:szCs w:val="24"/>
        </w:rPr>
      </w:pPr>
      <w:r>
        <w:rPr>
          <w:rFonts w:hint="eastAsia" w:ascii="宋体" w:hAnsi="宋体" w:cs="宋体"/>
          <w:sz w:val="24"/>
          <w:szCs w:val="24"/>
        </w:rPr>
        <w:t>投标文件接收截止时间</w:t>
      </w:r>
      <w:r>
        <w:rPr>
          <w:rFonts w:hint="eastAsia" w:ascii="宋体" w:hAnsi="宋体"/>
          <w:sz w:val="24"/>
          <w:szCs w:val="24"/>
        </w:rPr>
        <w:t>：</w:t>
      </w:r>
      <w:r>
        <w:rPr>
          <w:rFonts w:hint="eastAsia" w:ascii="宋体" w:hAnsi="宋体"/>
          <w:sz w:val="24"/>
          <w:szCs w:val="24"/>
          <w:u w:val="single"/>
        </w:rPr>
        <w:t>2021年</w:t>
      </w:r>
      <w:r>
        <w:rPr>
          <w:rFonts w:ascii="宋体" w:hAnsi="宋体"/>
          <w:sz w:val="24"/>
          <w:szCs w:val="24"/>
          <w:u w:val="single"/>
        </w:rPr>
        <w:t>6</w:t>
      </w:r>
      <w:r>
        <w:rPr>
          <w:rFonts w:hint="eastAsia" w:ascii="宋体" w:hAnsi="宋体"/>
          <w:sz w:val="24"/>
          <w:szCs w:val="24"/>
          <w:u w:val="single"/>
        </w:rPr>
        <w:t xml:space="preserve">月 </w:t>
      </w:r>
      <w:r>
        <w:rPr>
          <w:rFonts w:hint="eastAsia" w:ascii="宋体" w:hAnsi="宋体"/>
          <w:sz w:val="24"/>
          <w:szCs w:val="24"/>
          <w:u w:val="single"/>
          <w:lang w:val="en-US" w:eastAsia="zh-CN"/>
        </w:rPr>
        <w:t>28</w:t>
      </w:r>
      <w:r>
        <w:rPr>
          <w:rFonts w:hint="eastAsia" w:ascii="宋体" w:hAnsi="宋体"/>
          <w:sz w:val="24"/>
          <w:szCs w:val="24"/>
          <w:u w:val="single"/>
        </w:rPr>
        <w:t>日上</w:t>
      </w:r>
      <w:r>
        <w:rPr>
          <w:rFonts w:ascii="宋体" w:hAnsi="宋体"/>
          <w:sz w:val="24"/>
          <w:szCs w:val="24"/>
          <w:u w:val="single"/>
        </w:rPr>
        <w:t xml:space="preserve">午 </w:t>
      </w:r>
      <w:r>
        <w:rPr>
          <w:rFonts w:hint="eastAsia" w:ascii="宋体" w:hAnsi="宋体"/>
          <w:sz w:val="24"/>
          <w:szCs w:val="24"/>
          <w:u w:val="single"/>
        </w:rPr>
        <w:t>9</w:t>
      </w:r>
      <w:r>
        <w:rPr>
          <w:rFonts w:ascii="宋体" w:hAnsi="宋体"/>
          <w:sz w:val="24"/>
          <w:szCs w:val="24"/>
          <w:u w:val="single"/>
        </w:rPr>
        <w:t>:30</w:t>
      </w:r>
      <w:r>
        <w:rPr>
          <w:rFonts w:hint="eastAsia" w:ascii="宋体" w:hAnsi="宋体" w:cs="宋体"/>
          <w:sz w:val="24"/>
          <w:szCs w:val="24"/>
          <w:u w:val="single"/>
        </w:rPr>
        <w:t>（北京时间）</w:t>
      </w:r>
    </w:p>
    <w:p>
      <w:pPr>
        <w:spacing w:line="360" w:lineRule="auto"/>
        <w:ind w:firstLine="480" w:firstLineChars="200"/>
        <w:rPr>
          <w:rFonts w:ascii="宋体" w:hAnsi="宋体"/>
          <w:sz w:val="24"/>
          <w:szCs w:val="24"/>
        </w:rPr>
      </w:pPr>
      <w:r>
        <w:rPr>
          <w:rFonts w:hint="eastAsia" w:ascii="宋体" w:hAnsi="宋体"/>
          <w:sz w:val="24"/>
          <w:szCs w:val="24"/>
        </w:rPr>
        <w:t>开标时间：</w:t>
      </w:r>
      <w:r>
        <w:rPr>
          <w:rFonts w:hint="eastAsia" w:ascii="宋体" w:hAnsi="宋体"/>
          <w:sz w:val="24"/>
          <w:szCs w:val="24"/>
          <w:u w:val="single"/>
        </w:rPr>
        <w:t>2021年</w:t>
      </w:r>
      <w:r>
        <w:rPr>
          <w:rFonts w:ascii="宋体" w:hAnsi="宋体"/>
          <w:sz w:val="24"/>
          <w:szCs w:val="24"/>
          <w:u w:val="single"/>
        </w:rPr>
        <w:t>6</w:t>
      </w:r>
      <w:r>
        <w:rPr>
          <w:rFonts w:hint="eastAsia" w:ascii="宋体" w:hAnsi="宋体"/>
          <w:sz w:val="24"/>
          <w:szCs w:val="24"/>
          <w:u w:val="single"/>
        </w:rPr>
        <w:t>月</w:t>
      </w:r>
      <w:r>
        <w:rPr>
          <w:rFonts w:hint="eastAsia" w:ascii="宋体" w:hAnsi="宋体"/>
          <w:sz w:val="24"/>
          <w:szCs w:val="24"/>
          <w:u w:val="single"/>
          <w:lang w:val="en-US" w:eastAsia="zh-CN"/>
        </w:rPr>
        <w:t>28</w:t>
      </w:r>
      <w:r>
        <w:rPr>
          <w:rFonts w:hint="eastAsia" w:ascii="宋体" w:hAnsi="宋体"/>
          <w:sz w:val="24"/>
          <w:szCs w:val="24"/>
          <w:u w:val="single"/>
        </w:rPr>
        <w:t>日上</w:t>
      </w:r>
      <w:r>
        <w:rPr>
          <w:rFonts w:ascii="宋体" w:hAnsi="宋体"/>
          <w:sz w:val="24"/>
          <w:szCs w:val="24"/>
          <w:u w:val="single"/>
        </w:rPr>
        <w:t>午 9:30</w:t>
      </w:r>
      <w:r>
        <w:rPr>
          <w:rFonts w:hint="eastAsia" w:ascii="宋体" w:hAnsi="宋体" w:cs="宋体"/>
          <w:sz w:val="24"/>
          <w:szCs w:val="24"/>
          <w:u w:val="single"/>
        </w:rPr>
        <w:t>（北京时间）</w:t>
      </w:r>
    </w:p>
    <w:p>
      <w:pPr>
        <w:spacing w:line="360" w:lineRule="auto"/>
        <w:ind w:firstLine="480" w:firstLineChars="200"/>
        <w:rPr>
          <w:rFonts w:ascii="宋体" w:hAnsi="宋体" w:cs="宋体"/>
          <w:sz w:val="24"/>
          <w:szCs w:val="24"/>
          <w:u w:val="single"/>
        </w:rPr>
      </w:pPr>
      <w:r>
        <w:rPr>
          <w:rFonts w:hint="eastAsia" w:ascii="宋体" w:hAnsi="宋体" w:cs="宋体"/>
          <w:sz w:val="24"/>
          <w:szCs w:val="24"/>
        </w:rPr>
        <w:t>地点：扬州市史可法路58-21号城建置业办公楼三楼会议</w:t>
      </w:r>
      <w:r>
        <w:rPr>
          <w:rFonts w:hint="eastAsia" w:ascii="宋体" w:hAnsi="宋体" w:cs="宋体"/>
          <w:color w:val="333333"/>
          <w:sz w:val="24"/>
          <w:szCs w:val="24"/>
        </w:rPr>
        <w:t>室</w:t>
      </w:r>
    </w:p>
    <w:p>
      <w:pPr>
        <w:snapToGrid w:val="0"/>
        <w:spacing w:line="360" w:lineRule="auto"/>
        <w:ind w:firstLine="555"/>
        <w:contextualSpacing/>
        <w:rPr>
          <w:rFonts w:ascii="宋体" w:hAnsi="宋体" w:cs="宋体"/>
          <w:b/>
          <w:sz w:val="24"/>
          <w:szCs w:val="24"/>
        </w:rPr>
      </w:pPr>
      <w:r>
        <w:rPr>
          <w:rFonts w:hint="eastAsia" w:ascii="宋体" w:hAnsi="宋体" w:cs="宋体"/>
          <w:b/>
          <w:sz w:val="24"/>
          <w:szCs w:val="24"/>
        </w:rPr>
        <w:t>八、投标保证金</w:t>
      </w:r>
    </w:p>
    <w:p>
      <w:pPr>
        <w:snapToGrid w:val="0"/>
        <w:spacing w:line="360" w:lineRule="auto"/>
        <w:ind w:firstLine="480" w:firstLineChars="200"/>
        <w:contextualSpacing/>
        <w:rPr>
          <w:rFonts w:ascii="宋体" w:hAnsi="宋体" w:cs="宋体"/>
          <w:sz w:val="24"/>
          <w:szCs w:val="24"/>
          <w:lang w:val="zh-CN"/>
        </w:rPr>
      </w:pPr>
      <w:r>
        <w:rPr>
          <w:rFonts w:hint="eastAsia" w:ascii="宋体" w:hAnsi="宋体" w:cs="宋体"/>
          <w:sz w:val="24"/>
          <w:szCs w:val="24"/>
          <w:lang w:val="zh-CN"/>
        </w:rPr>
        <w:t>本项目</w:t>
      </w:r>
      <w:r>
        <w:rPr>
          <w:rFonts w:hint="eastAsia" w:ascii="宋体" w:hAnsi="宋体" w:cs="宋体"/>
          <w:b/>
          <w:bCs/>
          <w:sz w:val="24"/>
          <w:szCs w:val="24"/>
          <w:u w:val="single"/>
        </w:rPr>
        <w:t>不设</w:t>
      </w:r>
      <w:r>
        <w:rPr>
          <w:rFonts w:hint="eastAsia" w:ascii="宋体" w:hAnsi="宋体" w:cs="宋体"/>
          <w:sz w:val="24"/>
          <w:szCs w:val="24"/>
        </w:rPr>
        <w:t>投标保证金</w:t>
      </w:r>
      <w:r>
        <w:rPr>
          <w:rFonts w:hint="eastAsia" w:ascii="宋体" w:hAnsi="宋体" w:cs="宋体"/>
          <w:sz w:val="24"/>
          <w:szCs w:val="24"/>
          <w:lang w:val="zh-CN"/>
        </w:rPr>
        <w:t>。</w:t>
      </w:r>
    </w:p>
    <w:p>
      <w:pPr>
        <w:pStyle w:val="50"/>
        <w:spacing w:before="0" w:beforeAutospacing="0" w:after="0" w:afterAutospacing="0" w:line="360" w:lineRule="auto"/>
        <w:ind w:firstLine="420"/>
        <w:rPr>
          <w:color w:val="333333"/>
        </w:rPr>
      </w:pPr>
      <w:r>
        <w:rPr>
          <w:rFonts w:hint="eastAsia"/>
          <w:b/>
          <w:color w:val="333333"/>
        </w:rPr>
        <w:t>九、监督部门</w:t>
      </w:r>
    </w:p>
    <w:p>
      <w:pPr>
        <w:pStyle w:val="50"/>
        <w:spacing w:before="0" w:beforeAutospacing="0" w:after="0" w:afterAutospacing="0" w:line="360" w:lineRule="auto"/>
        <w:ind w:firstLine="420"/>
        <w:rPr>
          <w:color w:val="333333"/>
        </w:rPr>
      </w:pPr>
      <w:r>
        <w:rPr>
          <w:rFonts w:hint="eastAsia"/>
          <w:color w:val="333333"/>
        </w:rPr>
        <w:t>本招标项目的监督部门为扬州市城建国有资产控股（集团）有限公司纪检监察室。</w:t>
      </w:r>
    </w:p>
    <w:p>
      <w:pPr>
        <w:pStyle w:val="50"/>
        <w:spacing w:before="0" w:beforeAutospacing="0" w:after="0" w:afterAutospacing="0" w:line="360" w:lineRule="auto"/>
        <w:ind w:firstLine="420"/>
        <w:rPr>
          <w:lang w:val="zh-CN"/>
        </w:rPr>
      </w:pPr>
      <w:r>
        <w:rPr>
          <w:rFonts w:hint="eastAsia"/>
          <w:color w:val="333333"/>
        </w:rPr>
        <w:t>电话：0514-87111559</w:t>
      </w:r>
    </w:p>
    <w:p>
      <w:pPr>
        <w:snapToGrid w:val="0"/>
        <w:spacing w:line="360" w:lineRule="auto"/>
        <w:ind w:firstLine="482" w:firstLineChars="200"/>
        <w:contextualSpacing/>
        <w:rPr>
          <w:rFonts w:ascii="宋体" w:hAnsi="宋体" w:cs="宋体"/>
          <w:b/>
          <w:sz w:val="24"/>
          <w:szCs w:val="24"/>
        </w:rPr>
      </w:pPr>
      <w:r>
        <w:rPr>
          <w:rFonts w:hint="eastAsia" w:ascii="宋体" w:hAnsi="宋体" w:cs="宋体"/>
          <w:b/>
          <w:sz w:val="24"/>
          <w:szCs w:val="24"/>
        </w:rPr>
        <w:t>十、本项目联系事项</w:t>
      </w:r>
    </w:p>
    <w:p>
      <w:pPr>
        <w:pStyle w:val="50"/>
        <w:spacing w:before="0" w:beforeAutospacing="0" w:after="0" w:afterAutospacing="0" w:line="360" w:lineRule="auto"/>
        <w:ind w:firstLine="420"/>
        <w:rPr>
          <w:color w:val="333333"/>
        </w:rPr>
      </w:pPr>
      <w:r>
        <w:rPr>
          <w:rFonts w:hint="eastAsia"/>
          <w:b/>
          <w:color w:val="333333"/>
        </w:rPr>
        <w:t>招标人：扬州市民卡有限责任公司</w:t>
      </w:r>
    </w:p>
    <w:p>
      <w:pPr>
        <w:pStyle w:val="50"/>
        <w:spacing w:before="0" w:beforeAutospacing="0" w:after="0" w:afterAutospacing="0" w:line="360" w:lineRule="auto"/>
        <w:ind w:firstLine="420"/>
        <w:rPr>
          <w:color w:val="333333"/>
        </w:rPr>
      </w:pPr>
      <w:r>
        <w:rPr>
          <w:rFonts w:hint="eastAsia"/>
          <w:color w:val="333333"/>
        </w:rPr>
        <w:t>地   址：扬州市史可法路5</w:t>
      </w:r>
      <w:r>
        <w:rPr>
          <w:color w:val="333333"/>
        </w:rPr>
        <w:t>8</w:t>
      </w:r>
      <w:r>
        <w:rPr>
          <w:rFonts w:hint="eastAsia"/>
          <w:color w:val="333333"/>
        </w:rPr>
        <w:t>号</w:t>
      </w:r>
    </w:p>
    <w:p>
      <w:pPr>
        <w:pStyle w:val="50"/>
        <w:spacing w:before="0" w:beforeAutospacing="0" w:after="0" w:afterAutospacing="0" w:line="360" w:lineRule="auto"/>
        <w:ind w:firstLine="420"/>
        <w:rPr>
          <w:color w:val="auto"/>
        </w:rPr>
      </w:pPr>
      <w:r>
        <w:rPr>
          <w:rFonts w:hint="eastAsia"/>
          <w:color w:val="auto"/>
        </w:rPr>
        <w:t>联系人：李兴华</w:t>
      </w:r>
    </w:p>
    <w:p>
      <w:pPr>
        <w:pStyle w:val="50"/>
        <w:spacing w:before="0" w:beforeAutospacing="0" w:after="0" w:afterAutospacing="0" w:line="360" w:lineRule="auto"/>
        <w:ind w:firstLine="420"/>
        <w:rPr>
          <w:color w:val="auto"/>
        </w:rPr>
      </w:pPr>
      <w:r>
        <w:rPr>
          <w:rFonts w:hint="eastAsia"/>
          <w:color w:val="auto"/>
        </w:rPr>
        <w:t>电   话：15050762933</w:t>
      </w:r>
      <w:r>
        <w:rPr>
          <w:rFonts w:hint="eastAsia"/>
          <w:b/>
          <w:color w:val="auto"/>
        </w:rPr>
        <w:t> </w:t>
      </w:r>
    </w:p>
    <w:p>
      <w:pPr>
        <w:pStyle w:val="50"/>
        <w:spacing w:before="0" w:beforeAutospacing="0" w:after="0" w:afterAutospacing="0" w:line="360" w:lineRule="auto"/>
        <w:ind w:firstLine="420"/>
        <w:rPr>
          <w:color w:val="333333"/>
        </w:rPr>
      </w:pPr>
      <w:r>
        <w:rPr>
          <w:rFonts w:hint="eastAsia"/>
          <w:b/>
          <w:color w:val="333333"/>
        </w:rPr>
        <w:t>招标代理机构：扬州市嘉诚造价咨询有限公司</w:t>
      </w:r>
    </w:p>
    <w:p>
      <w:pPr>
        <w:pStyle w:val="50"/>
        <w:spacing w:before="0" w:beforeAutospacing="0" w:after="0" w:afterAutospacing="0" w:line="360" w:lineRule="auto"/>
        <w:ind w:firstLine="420"/>
        <w:rPr>
          <w:color w:val="333333"/>
        </w:rPr>
      </w:pPr>
      <w:r>
        <w:rPr>
          <w:rFonts w:hint="eastAsia"/>
          <w:color w:val="333333"/>
        </w:rPr>
        <w:t>地   址：扬州市史可法路58-21号城建置业办公楼三楼</w:t>
      </w:r>
    </w:p>
    <w:p>
      <w:pPr>
        <w:pStyle w:val="50"/>
        <w:spacing w:before="0" w:beforeAutospacing="0" w:after="0" w:afterAutospacing="0" w:line="360" w:lineRule="auto"/>
        <w:ind w:firstLine="420"/>
        <w:rPr>
          <w:color w:val="333333"/>
        </w:rPr>
      </w:pPr>
      <w:r>
        <w:rPr>
          <w:rFonts w:hint="eastAsia"/>
          <w:color w:val="333333"/>
        </w:rPr>
        <w:t>联系人：聂一杰</w:t>
      </w:r>
    </w:p>
    <w:p>
      <w:pPr>
        <w:pStyle w:val="50"/>
        <w:spacing w:before="0" w:beforeAutospacing="0" w:after="0" w:afterAutospacing="0" w:line="360" w:lineRule="auto"/>
        <w:ind w:firstLine="420"/>
        <w:rPr>
          <w:color w:val="333333"/>
        </w:rPr>
      </w:pPr>
      <w:r>
        <w:rPr>
          <w:rFonts w:hint="eastAsia"/>
          <w:color w:val="333333"/>
        </w:rPr>
        <w:t>电   话：17751367276</w:t>
      </w:r>
    </w:p>
    <w:p>
      <w:pPr>
        <w:pStyle w:val="50"/>
        <w:spacing w:before="0" w:beforeAutospacing="0" w:after="0" w:afterAutospacing="0" w:line="360" w:lineRule="auto"/>
        <w:ind w:firstLine="420"/>
      </w:pPr>
      <w:r>
        <w:rPr>
          <w:rFonts w:hint="eastAsia"/>
          <w:color w:val="333333"/>
        </w:rPr>
        <w:t>电子邮件：</w:t>
      </w:r>
      <w:r>
        <w:fldChar w:fldCharType="begin"/>
      </w:r>
      <w:r>
        <w:instrText xml:space="preserve"> HYPERLINK "mailto:1054684344@qq.com    " </w:instrText>
      </w:r>
      <w:r>
        <w:fldChar w:fldCharType="separate"/>
      </w:r>
      <w:r>
        <w:rPr>
          <w:rStyle w:val="66"/>
          <w:rFonts w:hint="eastAsia"/>
          <w:color w:val="333333"/>
        </w:rPr>
        <w:t>1054684344@qq.com    </w:t>
      </w:r>
      <w:r>
        <w:rPr>
          <w:rStyle w:val="66"/>
          <w:color w:val="333333"/>
        </w:rPr>
        <w:fldChar w:fldCharType="end"/>
      </w:r>
      <w:bookmarkStart w:id="12" w:name="_Toc523208568"/>
    </w:p>
    <w:p>
      <w:pPr>
        <w:pStyle w:val="52"/>
        <w:spacing w:before="0" w:after="0" w:line="360" w:lineRule="auto"/>
        <w:outlineLvl w:val="9"/>
        <w:rPr>
          <w:rFonts w:ascii="宋体" w:hAnsi="宋体" w:eastAsia="宋体" w:cs="Times New Roman"/>
          <w:snapToGrid w:val="0"/>
          <w:kern w:val="0"/>
          <w:sz w:val="44"/>
          <w:szCs w:val="20"/>
        </w:rPr>
      </w:pPr>
    </w:p>
    <w:p>
      <w:pPr>
        <w:pStyle w:val="52"/>
        <w:spacing w:before="0" w:after="0" w:line="360" w:lineRule="auto"/>
        <w:jc w:val="both"/>
        <w:outlineLvl w:val="9"/>
        <w:rPr>
          <w:rFonts w:ascii="宋体" w:hAnsi="宋体" w:eastAsia="宋体" w:cs="Times New Roman"/>
          <w:snapToGrid w:val="0"/>
          <w:kern w:val="0"/>
          <w:sz w:val="44"/>
          <w:szCs w:val="20"/>
        </w:rPr>
      </w:pPr>
    </w:p>
    <w:p>
      <w:pPr>
        <w:pStyle w:val="52"/>
        <w:spacing w:before="0" w:after="0" w:line="360" w:lineRule="auto"/>
        <w:rPr>
          <w:rFonts w:ascii="宋体" w:hAnsi="宋体" w:eastAsia="宋体" w:cs="宋体"/>
          <w:sz w:val="24"/>
        </w:rPr>
      </w:pPr>
      <w:bookmarkStart w:id="13" w:name="_Toc11792"/>
      <w:r>
        <w:rPr>
          <w:rFonts w:hint="eastAsia" w:ascii="宋体" w:hAnsi="宋体" w:eastAsia="宋体" w:cs="Times New Roman"/>
          <w:snapToGrid w:val="0"/>
          <w:kern w:val="0"/>
          <w:sz w:val="44"/>
          <w:szCs w:val="20"/>
        </w:rPr>
        <w:t>第二章 投标须知</w:t>
      </w:r>
      <w:bookmarkEnd w:id="12"/>
      <w:bookmarkEnd w:id="13"/>
      <w:bookmarkStart w:id="14" w:name="_Toc6245"/>
      <w:bookmarkStart w:id="15" w:name="_Toc9542"/>
      <w:bookmarkStart w:id="16" w:name="_Toc3287"/>
      <w:bookmarkStart w:id="17" w:name="_Toc31808"/>
      <w:bookmarkStart w:id="18" w:name="_Toc40699919"/>
    </w:p>
    <w:p>
      <w:pPr>
        <w:pStyle w:val="52"/>
        <w:spacing w:before="0" w:after="0" w:line="360" w:lineRule="auto"/>
        <w:jc w:val="both"/>
        <w:outlineLvl w:val="9"/>
        <w:rPr>
          <w:rFonts w:ascii="宋体" w:hAnsi="宋体" w:eastAsia="宋体" w:cs="宋体"/>
          <w:sz w:val="24"/>
        </w:rPr>
      </w:pPr>
      <w:bookmarkStart w:id="19" w:name="_Toc14303"/>
      <w:r>
        <w:rPr>
          <w:rFonts w:hint="eastAsia" w:ascii="宋体" w:hAnsi="宋体" w:eastAsia="宋体" w:cs="宋体"/>
          <w:sz w:val="24"/>
        </w:rPr>
        <w:t>1</w:t>
      </w:r>
      <w:r>
        <w:rPr>
          <w:rFonts w:hint="eastAsia" w:ascii="宋体" w:hAnsi="宋体" w:eastAsia="黑体" w:cs="宋体"/>
          <w:b w:val="0"/>
          <w:bCs/>
          <w:szCs w:val="32"/>
        </w:rPr>
        <w:t>、</w:t>
      </w:r>
      <w:r>
        <w:rPr>
          <w:rFonts w:hint="eastAsia" w:ascii="宋体" w:hAnsi="宋体" w:eastAsia="黑体" w:cs="宋体"/>
          <w:b w:val="0"/>
          <w:bCs/>
          <w:szCs w:val="32"/>
          <w:lang w:val="zh-CN"/>
        </w:rPr>
        <w:t>投标人须知前附表</w:t>
      </w:r>
      <w:bookmarkEnd w:id="14"/>
      <w:bookmarkEnd w:id="15"/>
      <w:bookmarkEnd w:id="16"/>
      <w:bookmarkEnd w:id="17"/>
      <w:bookmarkEnd w:id="18"/>
      <w:bookmarkEnd w:id="19"/>
    </w:p>
    <w:tbl>
      <w:tblPr>
        <w:tblStyle w:val="56"/>
        <w:tblpPr w:leftFromText="180" w:rightFromText="180" w:vertAnchor="text" w:horzAnchor="page" w:tblpX="1768" w:tblpY="519"/>
        <w:tblOverlap w:val="never"/>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843"/>
        <w:gridCol w:w="57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959" w:type="dxa"/>
            <w:vAlign w:val="center"/>
          </w:tcPr>
          <w:p>
            <w:pPr>
              <w:snapToGrid w:val="0"/>
              <w:spacing w:line="360" w:lineRule="auto"/>
              <w:jc w:val="center"/>
              <w:rPr>
                <w:rFonts w:ascii="宋体" w:hAnsi="宋体" w:cs="宋体"/>
                <w:b/>
                <w:kern w:val="0"/>
              </w:rPr>
            </w:pPr>
            <w:r>
              <w:rPr>
                <w:rFonts w:hint="eastAsia" w:ascii="宋体" w:hAnsi="宋体" w:cs="宋体"/>
                <w:b/>
                <w:kern w:val="0"/>
              </w:rPr>
              <w:t>条款号</w:t>
            </w:r>
          </w:p>
        </w:tc>
        <w:tc>
          <w:tcPr>
            <w:tcW w:w="1843" w:type="dxa"/>
            <w:vAlign w:val="center"/>
          </w:tcPr>
          <w:p>
            <w:pPr>
              <w:snapToGrid w:val="0"/>
              <w:spacing w:line="360" w:lineRule="auto"/>
              <w:jc w:val="center"/>
              <w:rPr>
                <w:rFonts w:ascii="宋体" w:hAnsi="宋体" w:cs="宋体"/>
                <w:b/>
                <w:kern w:val="0"/>
              </w:rPr>
            </w:pPr>
            <w:r>
              <w:rPr>
                <w:rFonts w:hint="eastAsia" w:ascii="宋体" w:hAnsi="宋体" w:cs="宋体"/>
                <w:b/>
                <w:kern w:val="0"/>
              </w:rPr>
              <w:t>条款名称</w:t>
            </w:r>
          </w:p>
        </w:tc>
        <w:tc>
          <w:tcPr>
            <w:tcW w:w="5726" w:type="dxa"/>
            <w:vAlign w:val="center"/>
          </w:tcPr>
          <w:p>
            <w:pPr>
              <w:snapToGrid w:val="0"/>
              <w:spacing w:line="360" w:lineRule="auto"/>
              <w:jc w:val="center"/>
              <w:rPr>
                <w:rFonts w:ascii="宋体" w:hAnsi="宋体" w:cs="宋体"/>
                <w:b/>
                <w:kern w:val="0"/>
              </w:rPr>
            </w:pPr>
            <w:r>
              <w:rPr>
                <w:rFonts w:hint="eastAsia" w:ascii="宋体" w:hAnsi="宋体" w:cs="宋体"/>
                <w:b/>
                <w:kern w:val="0"/>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1.1.1</w:t>
            </w:r>
          </w:p>
        </w:tc>
        <w:tc>
          <w:tcPr>
            <w:tcW w:w="1843" w:type="dxa"/>
            <w:vAlign w:val="center"/>
          </w:tcPr>
          <w:p>
            <w:pPr>
              <w:snapToGrid w:val="0"/>
              <w:spacing w:line="360" w:lineRule="auto"/>
              <w:jc w:val="center"/>
              <w:rPr>
                <w:rFonts w:ascii="宋体" w:hAnsi="宋体" w:cs="宋体"/>
                <w:kern w:val="0"/>
              </w:rPr>
            </w:pPr>
            <w:r>
              <w:rPr>
                <w:rFonts w:hint="eastAsia" w:ascii="宋体" w:hAnsi="宋体" w:cs="宋体"/>
                <w:kern w:val="0"/>
              </w:rPr>
              <w:t>招标人</w:t>
            </w:r>
          </w:p>
        </w:tc>
        <w:tc>
          <w:tcPr>
            <w:tcW w:w="5726" w:type="dxa"/>
            <w:vAlign w:val="center"/>
          </w:tcPr>
          <w:p>
            <w:pPr>
              <w:snapToGrid w:val="0"/>
              <w:spacing w:line="360" w:lineRule="auto"/>
              <w:rPr>
                <w:rFonts w:ascii="宋体" w:hAnsi="宋体" w:cs="宋体"/>
                <w:kern w:val="0"/>
              </w:rPr>
            </w:pPr>
            <w:r>
              <w:rPr>
                <w:rFonts w:hint="eastAsia" w:ascii="宋体" w:hAnsi="宋体" w:cs="宋体"/>
                <w:kern w:val="0"/>
              </w:rPr>
              <w:t xml:space="preserve">名称：详见招标公告第十条  </w:t>
            </w:r>
          </w:p>
          <w:p>
            <w:pPr>
              <w:snapToGrid w:val="0"/>
              <w:spacing w:line="360" w:lineRule="auto"/>
              <w:rPr>
                <w:rFonts w:ascii="宋体" w:hAnsi="宋体" w:cs="宋体"/>
                <w:kern w:val="0"/>
              </w:rPr>
            </w:pPr>
            <w:r>
              <w:rPr>
                <w:rFonts w:hint="eastAsia" w:ascii="宋体" w:hAnsi="宋体" w:cs="宋体"/>
                <w:kern w:val="0"/>
              </w:rPr>
              <w:t xml:space="preserve">地址：详见招标公告第十条  </w:t>
            </w:r>
          </w:p>
          <w:p>
            <w:pPr>
              <w:snapToGrid w:val="0"/>
              <w:spacing w:line="360" w:lineRule="auto"/>
              <w:rPr>
                <w:rFonts w:ascii="宋体" w:hAnsi="宋体" w:cs="宋体"/>
                <w:kern w:val="0"/>
              </w:rPr>
            </w:pPr>
            <w:r>
              <w:rPr>
                <w:rFonts w:hint="eastAsia" w:ascii="宋体" w:hAnsi="宋体" w:cs="宋体"/>
                <w:kern w:val="0"/>
              </w:rPr>
              <w:t xml:space="preserve">联系人：详见招标公告第十条 </w:t>
            </w:r>
          </w:p>
          <w:p>
            <w:pPr>
              <w:snapToGrid w:val="0"/>
              <w:spacing w:line="360" w:lineRule="auto"/>
              <w:rPr>
                <w:rFonts w:ascii="宋体" w:hAnsi="宋体" w:cs="宋体"/>
                <w:kern w:val="0"/>
              </w:rPr>
            </w:pPr>
            <w:r>
              <w:rPr>
                <w:rFonts w:hint="eastAsia" w:ascii="宋体" w:hAnsi="宋体" w:cs="宋体"/>
                <w:kern w:val="0"/>
              </w:rPr>
              <w:t xml:space="preserve">电话：详见招标公告第十条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1.1.2</w:t>
            </w:r>
          </w:p>
        </w:tc>
        <w:tc>
          <w:tcPr>
            <w:tcW w:w="1843" w:type="dxa"/>
            <w:vAlign w:val="center"/>
          </w:tcPr>
          <w:p>
            <w:pPr>
              <w:snapToGrid w:val="0"/>
              <w:spacing w:line="360" w:lineRule="auto"/>
              <w:jc w:val="center"/>
              <w:rPr>
                <w:rFonts w:ascii="宋体" w:hAnsi="宋体" w:cs="宋体"/>
                <w:kern w:val="0"/>
              </w:rPr>
            </w:pPr>
            <w:r>
              <w:rPr>
                <w:rFonts w:hint="eastAsia" w:ascii="宋体" w:hAnsi="宋体" w:cs="宋体"/>
                <w:kern w:val="0"/>
              </w:rPr>
              <w:t>招标代理机构</w:t>
            </w:r>
          </w:p>
        </w:tc>
        <w:tc>
          <w:tcPr>
            <w:tcW w:w="5726" w:type="dxa"/>
            <w:vAlign w:val="center"/>
          </w:tcPr>
          <w:p>
            <w:pPr>
              <w:snapToGrid w:val="0"/>
              <w:spacing w:line="360" w:lineRule="auto"/>
              <w:rPr>
                <w:rFonts w:ascii="宋体" w:hAnsi="宋体" w:cs="宋体"/>
                <w:kern w:val="0"/>
              </w:rPr>
            </w:pPr>
            <w:r>
              <w:rPr>
                <w:rFonts w:hint="eastAsia" w:ascii="宋体" w:hAnsi="宋体" w:cs="宋体"/>
                <w:kern w:val="0"/>
              </w:rPr>
              <w:t xml:space="preserve">名称：详见招标公告第十条  </w:t>
            </w:r>
          </w:p>
          <w:p>
            <w:pPr>
              <w:snapToGrid w:val="0"/>
              <w:spacing w:line="360" w:lineRule="auto"/>
              <w:rPr>
                <w:rFonts w:ascii="宋体" w:hAnsi="宋体" w:cs="宋体"/>
                <w:kern w:val="0"/>
              </w:rPr>
            </w:pPr>
            <w:r>
              <w:rPr>
                <w:rFonts w:hint="eastAsia" w:ascii="宋体" w:hAnsi="宋体" w:cs="宋体"/>
                <w:kern w:val="0"/>
              </w:rPr>
              <w:t xml:space="preserve">地址：详见招标公告第十条 </w:t>
            </w:r>
          </w:p>
          <w:p>
            <w:pPr>
              <w:snapToGrid w:val="0"/>
              <w:spacing w:line="360" w:lineRule="auto"/>
              <w:rPr>
                <w:rFonts w:ascii="宋体" w:hAnsi="宋体" w:cs="宋体"/>
                <w:kern w:val="0"/>
              </w:rPr>
            </w:pPr>
            <w:r>
              <w:rPr>
                <w:rFonts w:hint="eastAsia" w:ascii="宋体" w:hAnsi="宋体" w:cs="宋体"/>
                <w:kern w:val="0"/>
              </w:rPr>
              <w:t xml:space="preserve">联系人：详见招标公告第十条 </w:t>
            </w:r>
          </w:p>
          <w:p>
            <w:pPr>
              <w:snapToGrid w:val="0"/>
              <w:spacing w:line="360" w:lineRule="auto"/>
              <w:rPr>
                <w:rFonts w:ascii="宋体" w:hAnsi="宋体" w:cs="宋体"/>
                <w:kern w:val="0"/>
              </w:rPr>
            </w:pPr>
            <w:r>
              <w:rPr>
                <w:rFonts w:hint="eastAsia" w:ascii="宋体" w:hAnsi="宋体" w:cs="宋体"/>
                <w:kern w:val="0"/>
              </w:rPr>
              <w:t xml:space="preserve">电话：详见招标公告第十条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1.1.3</w:t>
            </w:r>
          </w:p>
        </w:tc>
        <w:tc>
          <w:tcPr>
            <w:tcW w:w="1843" w:type="dxa"/>
            <w:vAlign w:val="center"/>
          </w:tcPr>
          <w:p>
            <w:pPr>
              <w:snapToGrid w:val="0"/>
              <w:spacing w:line="360" w:lineRule="auto"/>
              <w:jc w:val="center"/>
              <w:rPr>
                <w:rFonts w:ascii="宋体" w:hAnsi="宋体" w:cs="宋体"/>
                <w:kern w:val="0"/>
              </w:rPr>
            </w:pPr>
            <w:r>
              <w:rPr>
                <w:rFonts w:hint="eastAsia" w:ascii="宋体" w:hAnsi="宋体" w:cs="宋体"/>
                <w:kern w:val="0"/>
              </w:rPr>
              <w:t>招标项目名称</w:t>
            </w:r>
          </w:p>
        </w:tc>
        <w:tc>
          <w:tcPr>
            <w:tcW w:w="5726" w:type="dxa"/>
            <w:vAlign w:val="center"/>
          </w:tcPr>
          <w:p>
            <w:pPr>
              <w:snapToGrid w:val="0"/>
              <w:spacing w:line="360" w:lineRule="auto"/>
              <w:rPr>
                <w:rFonts w:ascii="宋体" w:hAnsi="宋体" w:cs="宋体"/>
                <w:kern w:val="0"/>
              </w:rPr>
            </w:pPr>
            <w:r>
              <w:rPr>
                <w:rFonts w:hint="eastAsia" w:ascii="宋体" w:hAnsi="宋体" w:cs="宋体"/>
                <w:kern w:val="0"/>
              </w:rPr>
              <w:t xml:space="preserve">详见招标公告第一条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1.2.1</w:t>
            </w:r>
          </w:p>
        </w:tc>
        <w:tc>
          <w:tcPr>
            <w:tcW w:w="1843" w:type="dxa"/>
            <w:vAlign w:val="center"/>
          </w:tcPr>
          <w:p>
            <w:pPr>
              <w:snapToGrid w:val="0"/>
              <w:spacing w:line="360" w:lineRule="auto"/>
              <w:jc w:val="center"/>
              <w:rPr>
                <w:rFonts w:ascii="宋体" w:hAnsi="宋体" w:cs="宋体"/>
                <w:kern w:val="0"/>
              </w:rPr>
            </w:pPr>
            <w:r>
              <w:rPr>
                <w:rFonts w:hint="eastAsia" w:ascii="宋体" w:hAnsi="宋体" w:cs="宋体"/>
                <w:kern w:val="0"/>
              </w:rPr>
              <w:t>资金来源及比例</w:t>
            </w:r>
          </w:p>
        </w:tc>
        <w:tc>
          <w:tcPr>
            <w:tcW w:w="5726" w:type="dxa"/>
            <w:vAlign w:val="center"/>
          </w:tcPr>
          <w:p>
            <w:pPr>
              <w:snapToGrid w:val="0"/>
              <w:spacing w:line="360" w:lineRule="auto"/>
              <w:rPr>
                <w:rFonts w:ascii="宋体" w:hAnsi="宋体" w:cs="宋体"/>
                <w:kern w:val="0"/>
              </w:rPr>
            </w:pPr>
            <w:r>
              <w:rPr>
                <w:rFonts w:hint="eastAsia" w:ascii="宋体" w:hAnsi="宋体" w:cs="宋体"/>
                <w:kern w:val="0"/>
              </w:rPr>
              <w:t>自筹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1.2.2</w:t>
            </w:r>
          </w:p>
        </w:tc>
        <w:tc>
          <w:tcPr>
            <w:tcW w:w="1843" w:type="dxa"/>
            <w:vAlign w:val="center"/>
          </w:tcPr>
          <w:p>
            <w:pPr>
              <w:snapToGrid w:val="0"/>
              <w:spacing w:line="360" w:lineRule="auto"/>
              <w:jc w:val="center"/>
              <w:rPr>
                <w:rFonts w:ascii="宋体" w:hAnsi="宋体" w:cs="宋体"/>
                <w:kern w:val="0"/>
              </w:rPr>
            </w:pPr>
            <w:r>
              <w:rPr>
                <w:rFonts w:hint="eastAsia" w:ascii="宋体" w:hAnsi="宋体" w:cs="宋体"/>
                <w:kern w:val="0"/>
              </w:rPr>
              <w:t>资金落实情况</w:t>
            </w:r>
          </w:p>
        </w:tc>
        <w:tc>
          <w:tcPr>
            <w:tcW w:w="5726" w:type="dxa"/>
            <w:vAlign w:val="center"/>
          </w:tcPr>
          <w:p>
            <w:pPr>
              <w:snapToGrid w:val="0"/>
              <w:spacing w:line="360" w:lineRule="auto"/>
              <w:rPr>
                <w:rFonts w:ascii="宋体" w:hAnsi="宋体" w:cs="宋体"/>
                <w:kern w:val="0"/>
              </w:rPr>
            </w:pPr>
            <w:r>
              <w:rPr>
                <w:rFonts w:hint="eastAsia" w:ascii="宋体" w:hAnsi="宋体" w:cs="宋体"/>
                <w:kern w:val="0"/>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1.3.1</w:t>
            </w:r>
          </w:p>
        </w:tc>
        <w:tc>
          <w:tcPr>
            <w:tcW w:w="1843" w:type="dxa"/>
            <w:vAlign w:val="center"/>
          </w:tcPr>
          <w:p>
            <w:pPr>
              <w:snapToGrid w:val="0"/>
              <w:spacing w:line="360" w:lineRule="auto"/>
              <w:ind w:firstLine="210" w:firstLineChars="100"/>
              <w:rPr>
                <w:rFonts w:ascii="宋体" w:hAnsi="宋体" w:cs="宋体"/>
                <w:kern w:val="0"/>
              </w:rPr>
            </w:pPr>
            <w:r>
              <w:rPr>
                <w:rFonts w:hint="eastAsia" w:ascii="宋体" w:hAnsi="宋体" w:cs="宋体"/>
                <w:kern w:val="0"/>
              </w:rPr>
              <w:t>招标范围</w:t>
            </w:r>
          </w:p>
        </w:tc>
        <w:tc>
          <w:tcPr>
            <w:tcW w:w="5726" w:type="dxa"/>
            <w:vAlign w:val="center"/>
          </w:tcPr>
          <w:p>
            <w:pPr>
              <w:snapToGrid w:val="0"/>
              <w:spacing w:line="360" w:lineRule="auto"/>
              <w:rPr>
                <w:rFonts w:ascii="宋体" w:hAnsi="宋体" w:cs="宋体"/>
                <w:kern w:val="0"/>
              </w:rPr>
            </w:pPr>
            <w:r>
              <w:rPr>
                <w:rFonts w:hint="eastAsia" w:ascii="宋体" w:hAnsi="宋体" w:cs="宋体"/>
                <w:kern w:val="0"/>
              </w:rPr>
              <w:t>详见招标文件第三章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1.3.2</w:t>
            </w:r>
          </w:p>
        </w:tc>
        <w:tc>
          <w:tcPr>
            <w:tcW w:w="1843" w:type="dxa"/>
            <w:vAlign w:val="center"/>
          </w:tcPr>
          <w:p>
            <w:pPr>
              <w:snapToGrid w:val="0"/>
              <w:spacing w:line="360" w:lineRule="auto"/>
              <w:jc w:val="center"/>
              <w:rPr>
                <w:rFonts w:ascii="宋体" w:hAnsi="宋体" w:cs="宋体"/>
                <w:kern w:val="0"/>
                <w:highlight w:val="none"/>
              </w:rPr>
            </w:pPr>
            <w:r>
              <w:rPr>
                <w:rFonts w:hint="eastAsia" w:ascii="宋体" w:hAnsi="宋体" w:cs="宋体"/>
                <w:kern w:val="0"/>
                <w:highlight w:val="none"/>
              </w:rPr>
              <w:t>交货期</w:t>
            </w:r>
          </w:p>
        </w:tc>
        <w:tc>
          <w:tcPr>
            <w:tcW w:w="5726" w:type="dxa"/>
            <w:vAlign w:val="center"/>
          </w:tcPr>
          <w:p>
            <w:pPr>
              <w:snapToGrid w:val="0"/>
              <w:spacing w:line="360" w:lineRule="auto"/>
              <w:rPr>
                <w:rFonts w:ascii="宋体" w:hAnsi="宋体" w:cs="宋体"/>
                <w:kern w:val="0"/>
                <w:highlight w:val="none"/>
              </w:rPr>
            </w:pPr>
            <w:bookmarkStart w:id="20" w:name="EBd303dd7051634c139d1ab4bfb317adf6"/>
            <w:r>
              <w:rPr>
                <w:rFonts w:hint="eastAsia" w:ascii="宋体" w:hAnsi="宋体" w:cs="宋体"/>
                <w:kern w:val="0"/>
                <w:highlight w:val="none"/>
              </w:rPr>
              <w:t>合同签订后</w:t>
            </w:r>
            <w:r>
              <w:rPr>
                <w:rFonts w:hint="eastAsia" w:ascii="宋体" w:hAnsi="宋体" w:cs="宋体"/>
                <w:color w:val="000000"/>
                <w:kern w:val="0"/>
                <w:highlight w:val="none"/>
              </w:rPr>
              <w:t>15</w:t>
            </w:r>
            <w:r>
              <w:rPr>
                <w:rFonts w:hint="eastAsia" w:ascii="宋体" w:hAnsi="宋体" w:cs="宋体"/>
                <w:kern w:val="0"/>
                <w:highlight w:val="none"/>
              </w:rPr>
              <w:t>个自然日内完成供货、安装及调试</w:t>
            </w:r>
            <w:bookmarkEnd w:id="2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1.3.3</w:t>
            </w:r>
          </w:p>
        </w:tc>
        <w:tc>
          <w:tcPr>
            <w:tcW w:w="1843" w:type="dxa"/>
            <w:vAlign w:val="center"/>
          </w:tcPr>
          <w:p>
            <w:pPr>
              <w:snapToGrid w:val="0"/>
              <w:spacing w:line="360" w:lineRule="auto"/>
              <w:jc w:val="center"/>
              <w:rPr>
                <w:rFonts w:ascii="宋体" w:hAnsi="宋体" w:cs="宋体"/>
                <w:kern w:val="0"/>
                <w:highlight w:val="none"/>
              </w:rPr>
            </w:pPr>
            <w:r>
              <w:rPr>
                <w:rFonts w:hint="eastAsia" w:ascii="宋体" w:hAnsi="宋体" w:cs="宋体"/>
                <w:kern w:val="0"/>
                <w:highlight w:val="none"/>
              </w:rPr>
              <w:t>免费维保期</w:t>
            </w:r>
          </w:p>
        </w:tc>
        <w:tc>
          <w:tcPr>
            <w:tcW w:w="5726" w:type="dxa"/>
            <w:vAlign w:val="center"/>
          </w:tcPr>
          <w:p>
            <w:pPr>
              <w:snapToGrid w:val="0"/>
              <w:spacing w:line="360" w:lineRule="auto"/>
              <w:rPr>
                <w:rFonts w:ascii="宋体" w:hAnsi="宋体" w:cs="宋体"/>
                <w:kern w:val="0"/>
                <w:highlight w:val="none"/>
              </w:rPr>
            </w:pPr>
            <w:bookmarkStart w:id="21" w:name="EB64058f0c5d5f47ae8f4fa5bee914b485"/>
            <w:r>
              <w:rPr>
                <w:rFonts w:hint="eastAsia" w:ascii="宋体" w:hAnsi="宋体" w:cs="宋体"/>
                <w:kern w:val="0"/>
                <w:highlight w:val="none"/>
              </w:rPr>
              <w:t>1年</w:t>
            </w:r>
            <w:bookmarkEnd w:id="2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1.3.4</w:t>
            </w:r>
          </w:p>
        </w:tc>
        <w:tc>
          <w:tcPr>
            <w:tcW w:w="1843" w:type="dxa"/>
            <w:vAlign w:val="center"/>
          </w:tcPr>
          <w:p>
            <w:pPr>
              <w:snapToGrid w:val="0"/>
              <w:spacing w:line="360" w:lineRule="auto"/>
              <w:jc w:val="center"/>
              <w:rPr>
                <w:rFonts w:ascii="宋体" w:hAnsi="宋体" w:cs="宋体"/>
                <w:kern w:val="0"/>
              </w:rPr>
            </w:pPr>
            <w:r>
              <w:rPr>
                <w:rFonts w:hint="eastAsia" w:ascii="宋体" w:hAnsi="宋体" w:cs="宋体"/>
                <w:kern w:val="0"/>
              </w:rPr>
              <w:t>技术性能指标</w:t>
            </w:r>
          </w:p>
        </w:tc>
        <w:tc>
          <w:tcPr>
            <w:tcW w:w="5726" w:type="dxa"/>
            <w:vAlign w:val="center"/>
          </w:tcPr>
          <w:p>
            <w:pPr>
              <w:snapToGrid w:val="0"/>
              <w:spacing w:line="360" w:lineRule="auto"/>
              <w:rPr>
                <w:rFonts w:ascii="宋体" w:hAnsi="宋体" w:cs="宋体"/>
                <w:kern w:val="0"/>
              </w:rPr>
            </w:pPr>
            <w:r>
              <w:rPr>
                <w:rFonts w:hint="eastAsia" w:ascii="宋体" w:hAnsi="宋体" w:cs="宋体"/>
                <w:kern w:val="0"/>
              </w:rPr>
              <w:t xml:space="preserve">详见第三章项目需求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1.4.1</w:t>
            </w:r>
          </w:p>
        </w:tc>
        <w:tc>
          <w:tcPr>
            <w:tcW w:w="1843" w:type="dxa"/>
            <w:vAlign w:val="center"/>
          </w:tcPr>
          <w:p>
            <w:pPr>
              <w:snapToGrid w:val="0"/>
              <w:spacing w:line="360" w:lineRule="auto"/>
              <w:jc w:val="center"/>
              <w:rPr>
                <w:rFonts w:ascii="宋体" w:hAnsi="宋体" w:cs="宋体"/>
                <w:kern w:val="0"/>
              </w:rPr>
            </w:pPr>
            <w:r>
              <w:rPr>
                <w:rFonts w:hint="eastAsia" w:ascii="宋体" w:hAnsi="宋体" w:cs="宋体"/>
                <w:kern w:val="0"/>
              </w:rPr>
              <w:t>投标人资质条件、能力、信誉</w:t>
            </w:r>
          </w:p>
        </w:tc>
        <w:tc>
          <w:tcPr>
            <w:tcW w:w="5726" w:type="dxa"/>
            <w:vAlign w:val="center"/>
          </w:tcPr>
          <w:p>
            <w:pPr>
              <w:snapToGrid w:val="0"/>
              <w:spacing w:line="360" w:lineRule="auto"/>
              <w:rPr>
                <w:rFonts w:ascii="宋体" w:hAnsi="宋体" w:cs="宋体"/>
                <w:kern w:val="0"/>
              </w:rPr>
            </w:pPr>
            <w:r>
              <w:rPr>
                <w:rFonts w:hint="eastAsia" w:ascii="宋体" w:hAnsi="宋体" w:cs="宋体"/>
                <w:kern w:val="0"/>
              </w:rPr>
              <w:t>详见招标公告第四条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1.4.2</w:t>
            </w:r>
          </w:p>
        </w:tc>
        <w:tc>
          <w:tcPr>
            <w:tcW w:w="1843" w:type="dxa"/>
            <w:vAlign w:val="center"/>
          </w:tcPr>
          <w:p>
            <w:pPr>
              <w:snapToGrid w:val="0"/>
              <w:spacing w:line="360" w:lineRule="auto"/>
              <w:jc w:val="center"/>
              <w:rPr>
                <w:rFonts w:ascii="宋体" w:hAnsi="宋体" w:cs="宋体"/>
                <w:kern w:val="0"/>
              </w:rPr>
            </w:pPr>
            <w:r>
              <w:rPr>
                <w:rFonts w:hint="eastAsia" w:ascii="宋体" w:hAnsi="宋体" w:cs="宋体"/>
                <w:kern w:val="0"/>
              </w:rPr>
              <w:t>是否接受联合体投标</w:t>
            </w:r>
          </w:p>
        </w:tc>
        <w:tc>
          <w:tcPr>
            <w:tcW w:w="5726" w:type="dxa"/>
            <w:vAlign w:val="center"/>
          </w:tcPr>
          <w:p>
            <w:pPr>
              <w:snapToGrid w:val="0"/>
              <w:spacing w:line="360" w:lineRule="auto"/>
              <w:rPr>
                <w:rFonts w:ascii="宋体" w:hAnsi="宋体" w:cs="宋体"/>
                <w:kern w:val="0"/>
              </w:rPr>
            </w:pPr>
            <w:r>
              <w:rPr>
                <w:rFonts w:hint="eastAsia" w:ascii="宋体" w:hAnsi="宋体" w:cs="宋体"/>
                <w:kern w:val="0"/>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1.4.3</w:t>
            </w:r>
          </w:p>
        </w:tc>
        <w:tc>
          <w:tcPr>
            <w:tcW w:w="1843" w:type="dxa"/>
            <w:vAlign w:val="center"/>
          </w:tcPr>
          <w:p>
            <w:pPr>
              <w:snapToGrid w:val="0"/>
              <w:spacing w:line="360" w:lineRule="auto"/>
              <w:jc w:val="center"/>
              <w:rPr>
                <w:rFonts w:ascii="宋体" w:hAnsi="宋体" w:cs="宋体"/>
                <w:kern w:val="0"/>
              </w:rPr>
            </w:pPr>
            <w:r>
              <w:rPr>
                <w:rFonts w:hint="eastAsia" w:ascii="宋体" w:hAnsi="宋体" w:cs="宋体"/>
                <w:kern w:val="0"/>
              </w:rPr>
              <w:t>投标人不得存在的其他情形</w:t>
            </w:r>
          </w:p>
        </w:tc>
        <w:tc>
          <w:tcPr>
            <w:tcW w:w="5726" w:type="dxa"/>
            <w:vAlign w:val="center"/>
          </w:tcPr>
          <w:p>
            <w:pPr>
              <w:snapToGrid w:val="0"/>
              <w:spacing w:line="360" w:lineRule="auto"/>
              <w:rPr>
                <w:rFonts w:ascii="宋体" w:hAnsi="宋体" w:cs="宋体"/>
                <w:kern w:val="0"/>
              </w:rPr>
            </w:pPr>
            <w:r>
              <w:rPr>
                <w:rFonts w:hint="eastAsia" w:ascii="宋体" w:hAnsi="宋体" w:cs="宋体"/>
                <w:kern w:val="0"/>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1.5.1</w:t>
            </w:r>
          </w:p>
        </w:tc>
        <w:tc>
          <w:tcPr>
            <w:tcW w:w="1843" w:type="dxa"/>
            <w:vAlign w:val="center"/>
          </w:tcPr>
          <w:p>
            <w:pPr>
              <w:snapToGrid w:val="0"/>
              <w:spacing w:line="360" w:lineRule="auto"/>
              <w:jc w:val="center"/>
              <w:rPr>
                <w:rFonts w:ascii="宋体" w:hAnsi="宋体" w:cs="宋体"/>
                <w:kern w:val="0"/>
              </w:rPr>
            </w:pPr>
            <w:r>
              <w:rPr>
                <w:rFonts w:hint="eastAsia" w:ascii="宋体" w:hAnsi="宋体" w:cs="宋体"/>
                <w:kern w:val="0"/>
              </w:rPr>
              <w:t>投标预备会</w:t>
            </w:r>
          </w:p>
        </w:tc>
        <w:tc>
          <w:tcPr>
            <w:tcW w:w="5726" w:type="dxa"/>
            <w:vAlign w:val="center"/>
          </w:tcPr>
          <w:p>
            <w:pPr>
              <w:snapToGrid w:val="0"/>
              <w:spacing w:line="360" w:lineRule="auto"/>
              <w:rPr>
                <w:rFonts w:ascii="宋体" w:hAnsi="宋体" w:cs="宋体"/>
                <w:kern w:val="0"/>
              </w:rPr>
            </w:pPr>
            <w:r>
              <w:rPr>
                <w:rFonts w:hint="eastAsia" w:ascii="宋体" w:hAnsi="宋体" w:cs="宋体"/>
                <w:kern w:val="0"/>
                <w:sz w:val="24"/>
                <w:szCs w:val="24"/>
                <w:shd w:val="clear" w:color="auto" w:fill="FFFFFF"/>
              </w:rPr>
              <w:t>■</w:t>
            </w:r>
            <w:r>
              <w:rPr>
                <w:rFonts w:hint="eastAsia" w:ascii="宋体" w:hAnsi="宋体" w:cs="宋体"/>
                <w:kern w:val="0"/>
              </w:rPr>
              <w:t>不召开</w:t>
            </w:r>
          </w:p>
          <w:p>
            <w:pPr>
              <w:snapToGrid w:val="0"/>
              <w:spacing w:line="360" w:lineRule="auto"/>
              <w:rPr>
                <w:rFonts w:ascii="宋体" w:hAnsi="宋体" w:cs="宋体"/>
                <w:kern w:val="0"/>
              </w:rPr>
            </w:pPr>
            <w:r>
              <w:rPr>
                <w:rFonts w:hint="eastAsia" w:ascii="宋体" w:hAnsi="宋体" w:cs="宋体"/>
                <w:kern w:val="0"/>
              </w:rPr>
              <w:t>□召开，召开时间：</w:t>
            </w:r>
          </w:p>
          <w:p>
            <w:pPr>
              <w:snapToGrid w:val="0"/>
              <w:spacing w:line="360" w:lineRule="auto"/>
              <w:rPr>
                <w:rFonts w:ascii="宋体" w:hAnsi="宋体" w:cs="宋体"/>
                <w:kern w:val="0"/>
              </w:rPr>
            </w:pPr>
            <w:r>
              <w:rPr>
                <w:rFonts w:hint="eastAsia" w:ascii="宋体" w:hAnsi="宋体" w:cs="宋体"/>
                <w:kern w:val="0"/>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1.6.1</w:t>
            </w:r>
          </w:p>
        </w:tc>
        <w:tc>
          <w:tcPr>
            <w:tcW w:w="1843" w:type="dxa"/>
            <w:vAlign w:val="center"/>
          </w:tcPr>
          <w:p>
            <w:pPr>
              <w:snapToGrid w:val="0"/>
              <w:spacing w:line="360" w:lineRule="auto"/>
              <w:jc w:val="center"/>
              <w:rPr>
                <w:rFonts w:ascii="宋体" w:hAnsi="宋体" w:cs="宋体"/>
                <w:kern w:val="0"/>
              </w:rPr>
            </w:pPr>
            <w:r>
              <w:rPr>
                <w:rFonts w:hint="eastAsia" w:ascii="宋体" w:hAnsi="宋体" w:cs="宋体"/>
                <w:kern w:val="0"/>
              </w:rPr>
              <w:t>分包</w:t>
            </w:r>
          </w:p>
        </w:tc>
        <w:tc>
          <w:tcPr>
            <w:tcW w:w="5726" w:type="dxa"/>
            <w:vAlign w:val="center"/>
          </w:tcPr>
          <w:p>
            <w:pPr>
              <w:snapToGrid w:val="0"/>
              <w:spacing w:line="360" w:lineRule="auto"/>
              <w:rPr>
                <w:rFonts w:ascii="宋体" w:hAnsi="宋体" w:cs="宋体"/>
                <w:kern w:val="0"/>
              </w:rPr>
            </w:pPr>
            <w:r>
              <w:rPr>
                <w:rFonts w:hint="eastAsia" w:ascii="宋体" w:hAnsi="宋体" w:cs="宋体"/>
                <w:kern w:val="0"/>
                <w:sz w:val="24"/>
                <w:szCs w:val="24"/>
                <w:shd w:val="clear" w:color="auto" w:fill="FFFFFF"/>
              </w:rPr>
              <w:t>■</w:t>
            </w:r>
            <w:r>
              <w:rPr>
                <w:rFonts w:hint="eastAsia" w:ascii="宋体" w:hAnsi="宋体" w:cs="宋体"/>
                <w:kern w:val="0"/>
              </w:rPr>
              <w:t>不允许</w:t>
            </w:r>
          </w:p>
          <w:p>
            <w:pPr>
              <w:snapToGrid w:val="0"/>
              <w:spacing w:line="360" w:lineRule="auto"/>
              <w:rPr>
                <w:rFonts w:ascii="宋体" w:hAnsi="宋体" w:cs="宋体"/>
                <w:kern w:val="0"/>
              </w:rPr>
            </w:pPr>
            <w:r>
              <w:rPr>
                <w:rFonts w:hint="eastAsia" w:ascii="宋体" w:hAnsi="宋体" w:cs="宋体"/>
                <w:kern w:val="0"/>
              </w:rPr>
              <w:t>□允许，分包要求：部分工作内容，在征得招标人同意后可以进行合法分包。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1.6.2</w:t>
            </w:r>
          </w:p>
        </w:tc>
        <w:tc>
          <w:tcPr>
            <w:tcW w:w="1843" w:type="dxa"/>
            <w:vAlign w:val="center"/>
          </w:tcPr>
          <w:p>
            <w:pPr>
              <w:snapToGrid w:val="0"/>
              <w:spacing w:line="360" w:lineRule="auto"/>
              <w:jc w:val="center"/>
              <w:rPr>
                <w:rFonts w:ascii="宋体" w:hAnsi="宋体" w:cs="宋体"/>
                <w:kern w:val="0"/>
              </w:rPr>
            </w:pPr>
            <w:r>
              <w:rPr>
                <w:rFonts w:hint="eastAsia" w:ascii="宋体" w:hAnsi="宋体" w:cs="宋体"/>
                <w:kern w:val="0"/>
              </w:rPr>
              <w:t>实质性要求和条件</w:t>
            </w:r>
          </w:p>
        </w:tc>
        <w:tc>
          <w:tcPr>
            <w:tcW w:w="5726" w:type="dxa"/>
            <w:vAlign w:val="center"/>
          </w:tcPr>
          <w:p>
            <w:pPr>
              <w:snapToGrid w:val="0"/>
              <w:spacing w:line="360" w:lineRule="auto"/>
              <w:rPr>
                <w:rFonts w:ascii="宋体" w:hAnsi="宋体" w:cs="宋体"/>
                <w:kern w:val="0"/>
              </w:rPr>
            </w:pPr>
            <w:r>
              <w:rPr>
                <w:rFonts w:hint="eastAsia" w:ascii="宋体" w:hAnsi="宋体" w:cs="宋体"/>
                <w:kern w:val="0"/>
              </w:rPr>
              <w:t>投标文件应当对招标文件有关交货期、投标有效期、质量要求、技术标准和要求、招标范围等实质性内容作出响应。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1.6.3</w:t>
            </w:r>
          </w:p>
        </w:tc>
        <w:tc>
          <w:tcPr>
            <w:tcW w:w="1843" w:type="dxa"/>
            <w:vAlign w:val="center"/>
          </w:tcPr>
          <w:p>
            <w:pPr>
              <w:snapToGrid w:val="0"/>
              <w:spacing w:line="360" w:lineRule="auto"/>
              <w:jc w:val="center"/>
              <w:rPr>
                <w:rFonts w:ascii="宋体" w:hAnsi="宋体" w:cs="宋体"/>
                <w:kern w:val="0"/>
              </w:rPr>
            </w:pPr>
            <w:r>
              <w:rPr>
                <w:rFonts w:hint="eastAsia" w:ascii="宋体" w:hAnsi="宋体" w:cs="宋体"/>
                <w:kern w:val="0"/>
              </w:rPr>
              <w:t>其他可以被接受的技术支持资料</w:t>
            </w:r>
          </w:p>
        </w:tc>
        <w:tc>
          <w:tcPr>
            <w:tcW w:w="5726" w:type="dxa"/>
            <w:vAlign w:val="center"/>
          </w:tcPr>
          <w:p>
            <w:pPr>
              <w:snapToGrid w:val="0"/>
              <w:spacing w:line="360" w:lineRule="auto"/>
              <w:rPr>
                <w:rFonts w:ascii="宋体" w:hAnsi="宋体" w:cs="宋体"/>
                <w:kern w:val="0"/>
              </w:rPr>
            </w:pPr>
            <w:r>
              <w:rPr>
                <w:rFonts w:hint="eastAsia" w:ascii="宋体" w:hAnsi="宋体" w:cs="宋体"/>
                <w:kern w:val="0"/>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1.6.4</w:t>
            </w:r>
          </w:p>
        </w:tc>
        <w:tc>
          <w:tcPr>
            <w:tcW w:w="1843" w:type="dxa"/>
            <w:vAlign w:val="center"/>
          </w:tcPr>
          <w:p>
            <w:pPr>
              <w:snapToGrid w:val="0"/>
              <w:spacing w:line="360" w:lineRule="auto"/>
              <w:jc w:val="center"/>
              <w:rPr>
                <w:rFonts w:ascii="宋体" w:hAnsi="宋体" w:cs="宋体"/>
                <w:kern w:val="0"/>
              </w:rPr>
            </w:pPr>
            <w:r>
              <w:rPr>
                <w:rFonts w:hint="eastAsia" w:ascii="宋体" w:hAnsi="宋体" w:cs="宋体"/>
                <w:kern w:val="0"/>
              </w:rPr>
              <w:t>偏差</w:t>
            </w:r>
          </w:p>
        </w:tc>
        <w:tc>
          <w:tcPr>
            <w:tcW w:w="5726" w:type="dxa"/>
            <w:vAlign w:val="center"/>
          </w:tcPr>
          <w:p>
            <w:pPr>
              <w:snapToGrid w:val="0"/>
              <w:spacing w:line="360" w:lineRule="auto"/>
              <w:rPr>
                <w:rFonts w:ascii="宋体" w:hAnsi="宋体" w:cs="宋体"/>
                <w:kern w:val="0"/>
              </w:rPr>
            </w:pPr>
            <w:r>
              <w:rPr>
                <w:rFonts w:hint="eastAsia" w:ascii="宋体" w:hAnsi="宋体" w:cs="宋体"/>
                <w:kern w:val="0"/>
                <w:sz w:val="24"/>
                <w:szCs w:val="24"/>
                <w:shd w:val="clear" w:color="auto" w:fill="FFFFFF"/>
              </w:rPr>
              <w:t>■</w:t>
            </w:r>
            <w:r>
              <w:rPr>
                <w:rFonts w:hint="eastAsia" w:ascii="宋体" w:hAnsi="宋体" w:cs="宋体"/>
                <w:kern w:val="0"/>
              </w:rPr>
              <w:t>不允许</w:t>
            </w:r>
          </w:p>
          <w:p>
            <w:pPr>
              <w:snapToGrid w:val="0"/>
              <w:spacing w:line="360" w:lineRule="auto"/>
              <w:rPr>
                <w:rFonts w:ascii="宋体" w:hAnsi="宋体" w:cs="宋体"/>
                <w:kern w:val="0"/>
              </w:rPr>
            </w:pPr>
            <w:r>
              <w:rPr>
                <w:rFonts w:hint="eastAsia" w:ascii="宋体" w:hAnsi="宋体" w:cs="宋体"/>
                <w:kern w:val="0"/>
              </w:rPr>
              <w:t>□允许，偏差范围：无限制</w:t>
            </w:r>
          </w:p>
          <w:p>
            <w:pPr>
              <w:snapToGrid w:val="0"/>
              <w:spacing w:line="360" w:lineRule="auto"/>
              <w:rPr>
                <w:rFonts w:ascii="宋体" w:hAnsi="宋体" w:cs="宋体"/>
                <w:kern w:val="0"/>
              </w:rPr>
            </w:pPr>
            <w:r>
              <w:rPr>
                <w:rFonts w:hint="eastAsia" w:ascii="宋体" w:hAnsi="宋体" w:cs="宋体"/>
                <w:kern w:val="0"/>
              </w:rPr>
              <w:t>最高项数：无限制</w:t>
            </w:r>
          </w:p>
          <w:p>
            <w:pPr>
              <w:snapToGrid w:val="0"/>
              <w:spacing w:line="360" w:lineRule="auto"/>
              <w:rPr>
                <w:rFonts w:ascii="宋体" w:hAnsi="宋体" w:cs="宋体"/>
                <w:kern w:val="0"/>
              </w:rPr>
            </w:pPr>
            <w:r>
              <w:rPr>
                <w:rFonts w:hint="eastAsia" w:ascii="宋体" w:hAnsi="宋体" w:cs="宋体"/>
                <w:b/>
                <w:bCs/>
                <w:kern w:val="0"/>
              </w:rPr>
              <w:t>实质性要求和条件不允许偏差，非实质性要求和条件允许偏差，对非实质性要求和条件的偏差范围、最高项数无规定。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2.1</w:t>
            </w:r>
          </w:p>
        </w:tc>
        <w:tc>
          <w:tcPr>
            <w:tcW w:w="1843" w:type="dxa"/>
            <w:vAlign w:val="center"/>
          </w:tcPr>
          <w:p>
            <w:pPr>
              <w:snapToGrid w:val="0"/>
              <w:spacing w:line="360" w:lineRule="auto"/>
              <w:jc w:val="center"/>
              <w:rPr>
                <w:rFonts w:ascii="宋体" w:hAnsi="宋体" w:cs="宋体"/>
                <w:kern w:val="0"/>
              </w:rPr>
            </w:pPr>
            <w:r>
              <w:rPr>
                <w:rFonts w:hint="eastAsia" w:ascii="宋体" w:hAnsi="宋体" w:cs="宋体"/>
                <w:kern w:val="0"/>
              </w:rPr>
              <w:t>构成招标文件的其他资料</w:t>
            </w:r>
          </w:p>
        </w:tc>
        <w:tc>
          <w:tcPr>
            <w:tcW w:w="5726" w:type="dxa"/>
            <w:vAlign w:val="center"/>
          </w:tcPr>
          <w:p>
            <w:pPr>
              <w:snapToGrid w:val="0"/>
              <w:spacing w:line="360" w:lineRule="auto"/>
              <w:rPr>
                <w:rFonts w:ascii="宋体" w:hAnsi="宋体" w:cs="宋体"/>
                <w:kern w:val="0"/>
              </w:rPr>
            </w:pPr>
            <w:r>
              <w:rPr>
                <w:rFonts w:hint="eastAsia" w:ascii="宋体" w:hAnsi="宋体" w:cs="宋体"/>
                <w:kern w:val="0"/>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2.2.1</w:t>
            </w:r>
          </w:p>
        </w:tc>
        <w:tc>
          <w:tcPr>
            <w:tcW w:w="1843" w:type="dxa"/>
            <w:vAlign w:val="center"/>
          </w:tcPr>
          <w:p>
            <w:pPr>
              <w:snapToGrid w:val="0"/>
              <w:spacing w:line="360" w:lineRule="auto"/>
              <w:jc w:val="center"/>
              <w:rPr>
                <w:rFonts w:ascii="宋体" w:hAnsi="宋体" w:cs="宋体"/>
                <w:kern w:val="0"/>
              </w:rPr>
            </w:pPr>
            <w:r>
              <w:rPr>
                <w:rFonts w:hint="eastAsia" w:ascii="宋体" w:hAnsi="宋体" w:cs="宋体"/>
                <w:kern w:val="0"/>
              </w:rPr>
              <w:t>投标人要求澄清招标文件</w:t>
            </w:r>
          </w:p>
        </w:tc>
        <w:tc>
          <w:tcPr>
            <w:tcW w:w="5726" w:type="dxa"/>
            <w:vAlign w:val="center"/>
          </w:tcPr>
          <w:p>
            <w:pPr>
              <w:snapToGrid w:val="0"/>
              <w:spacing w:line="360" w:lineRule="auto"/>
              <w:rPr>
                <w:rFonts w:ascii="宋体" w:hAnsi="宋体" w:cs="宋体"/>
                <w:kern w:val="0"/>
              </w:rPr>
            </w:pPr>
            <w:r>
              <w:rPr>
                <w:rFonts w:hint="eastAsia" w:ascii="宋体" w:hAnsi="宋体" w:cs="宋体"/>
                <w:kern w:val="0"/>
              </w:rPr>
              <w:t>任何要求对招标文件澄清的投标人，均应及时通过邮件方式提出，采购代理机构对规定时间内收到的澄清将予以答复，答复不包括问题的来源。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2.2.2</w:t>
            </w:r>
          </w:p>
        </w:tc>
        <w:tc>
          <w:tcPr>
            <w:tcW w:w="1843" w:type="dxa"/>
            <w:vAlign w:val="center"/>
          </w:tcPr>
          <w:p>
            <w:pPr>
              <w:snapToGrid w:val="0"/>
              <w:spacing w:line="360" w:lineRule="auto"/>
              <w:jc w:val="center"/>
              <w:rPr>
                <w:rFonts w:ascii="宋体" w:hAnsi="宋体" w:cs="宋体"/>
                <w:kern w:val="0"/>
              </w:rPr>
            </w:pPr>
            <w:r>
              <w:rPr>
                <w:rFonts w:hint="eastAsia" w:ascii="宋体" w:hAnsi="宋体" w:cs="宋体"/>
                <w:kern w:val="0"/>
              </w:rPr>
              <w:t>招标文件澄清发出的形式</w:t>
            </w:r>
          </w:p>
        </w:tc>
        <w:tc>
          <w:tcPr>
            <w:tcW w:w="5726" w:type="dxa"/>
            <w:vAlign w:val="center"/>
          </w:tcPr>
          <w:p>
            <w:pPr>
              <w:snapToGrid w:val="0"/>
              <w:spacing w:line="360" w:lineRule="auto"/>
              <w:rPr>
                <w:rFonts w:ascii="宋体" w:hAnsi="宋体" w:cs="宋体"/>
                <w:kern w:val="0"/>
              </w:rPr>
            </w:pPr>
            <w:r>
              <w:rPr>
                <w:rFonts w:hint="eastAsia" w:ascii="宋体" w:hAnsi="宋体" w:cs="宋体"/>
                <w:kern w:val="0"/>
              </w:rPr>
              <w:t>通过</w:t>
            </w:r>
            <w:r>
              <w:rPr>
                <w:rFonts w:hint="eastAsia" w:ascii="宋体" w:hAnsi="宋体" w:cs="宋体"/>
                <w:kern w:val="0"/>
                <w:u w:val="single"/>
              </w:rPr>
              <w:t>扬州市城建国有资产控股(集团）有限责任公司网站</w:t>
            </w:r>
            <w:r>
              <w:rPr>
                <w:rFonts w:hint="eastAsia" w:ascii="宋体" w:hAnsi="宋体" w:cs="宋体"/>
                <w:kern w:val="0"/>
              </w:rPr>
              <w:t>平台发出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2.2.3</w:t>
            </w:r>
          </w:p>
        </w:tc>
        <w:tc>
          <w:tcPr>
            <w:tcW w:w="1843" w:type="dxa"/>
            <w:vAlign w:val="center"/>
          </w:tcPr>
          <w:p>
            <w:pPr>
              <w:snapToGrid w:val="0"/>
              <w:spacing w:line="360" w:lineRule="auto"/>
              <w:jc w:val="center"/>
              <w:rPr>
                <w:rFonts w:ascii="宋体" w:hAnsi="宋体" w:cs="宋体"/>
                <w:kern w:val="0"/>
              </w:rPr>
            </w:pPr>
            <w:r>
              <w:rPr>
                <w:rFonts w:hint="eastAsia" w:ascii="宋体" w:hAnsi="宋体" w:cs="宋体"/>
                <w:kern w:val="0"/>
              </w:rPr>
              <w:t>投标人确认收到招标文件澄清</w:t>
            </w:r>
          </w:p>
        </w:tc>
        <w:tc>
          <w:tcPr>
            <w:tcW w:w="5726" w:type="dxa"/>
            <w:vAlign w:val="center"/>
          </w:tcPr>
          <w:p>
            <w:pPr>
              <w:snapToGrid w:val="0"/>
              <w:spacing w:line="360" w:lineRule="auto"/>
              <w:rPr>
                <w:rFonts w:ascii="宋体" w:hAnsi="宋体" w:cs="宋体"/>
                <w:kern w:val="0"/>
              </w:rPr>
            </w:pPr>
            <w:r>
              <w:rPr>
                <w:rFonts w:hint="eastAsia" w:ascii="宋体" w:hAnsi="宋体" w:cs="宋体"/>
                <w:kern w:val="0"/>
              </w:rPr>
              <w:t>时间：收到后1日</w:t>
            </w:r>
          </w:p>
          <w:p>
            <w:pPr>
              <w:snapToGrid w:val="0"/>
              <w:spacing w:line="360" w:lineRule="auto"/>
              <w:rPr>
                <w:rFonts w:ascii="宋体" w:hAnsi="宋体" w:cs="宋体"/>
                <w:kern w:val="0"/>
              </w:rPr>
            </w:pPr>
            <w:r>
              <w:rPr>
                <w:rFonts w:hint="eastAsia" w:ascii="宋体" w:hAnsi="宋体" w:cs="宋体"/>
                <w:kern w:val="0"/>
              </w:rPr>
              <w:t>形式：电子邮件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2.3.1</w:t>
            </w:r>
          </w:p>
        </w:tc>
        <w:tc>
          <w:tcPr>
            <w:tcW w:w="1843" w:type="dxa"/>
            <w:vAlign w:val="center"/>
          </w:tcPr>
          <w:p>
            <w:pPr>
              <w:snapToGrid w:val="0"/>
              <w:spacing w:line="360" w:lineRule="auto"/>
              <w:jc w:val="center"/>
              <w:rPr>
                <w:rFonts w:ascii="宋体" w:hAnsi="宋体" w:cs="宋体"/>
                <w:kern w:val="0"/>
              </w:rPr>
            </w:pPr>
            <w:r>
              <w:rPr>
                <w:rFonts w:hint="eastAsia" w:ascii="宋体" w:hAnsi="宋体" w:cs="宋体"/>
                <w:kern w:val="0"/>
              </w:rPr>
              <w:t>招标文件修改发出的形式</w:t>
            </w:r>
          </w:p>
        </w:tc>
        <w:tc>
          <w:tcPr>
            <w:tcW w:w="5726" w:type="dxa"/>
            <w:vAlign w:val="center"/>
          </w:tcPr>
          <w:p>
            <w:pPr>
              <w:snapToGrid w:val="0"/>
              <w:spacing w:line="360" w:lineRule="auto"/>
              <w:rPr>
                <w:rFonts w:ascii="宋体" w:hAnsi="宋体" w:cs="宋体"/>
                <w:kern w:val="0"/>
              </w:rPr>
            </w:pPr>
            <w:r>
              <w:rPr>
                <w:rFonts w:hint="eastAsia" w:ascii="宋体" w:hAnsi="宋体" w:cs="宋体"/>
                <w:kern w:val="0"/>
              </w:rPr>
              <w:t>通过</w:t>
            </w:r>
            <w:r>
              <w:rPr>
                <w:rFonts w:hint="eastAsia" w:ascii="宋体" w:hAnsi="宋体" w:cs="宋体"/>
                <w:kern w:val="0"/>
                <w:u w:val="single"/>
              </w:rPr>
              <w:t>扬州市城建国有资产控股(集团）有限责任公司网站</w:t>
            </w:r>
            <w:r>
              <w:rPr>
                <w:rFonts w:hint="eastAsia" w:ascii="宋体" w:hAnsi="宋体" w:cs="宋体"/>
                <w:kern w:val="0"/>
              </w:rPr>
              <w:t>平台发出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2.3.2</w:t>
            </w:r>
          </w:p>
        </w:tc>
        <w:tc>
          <w:tcPr>
            <w:tcW w:w="1843" w:type="dxa"/>
            <w:vAlign w:val="center"/>
          </w:tcPr>
          <w:p>
            <w:pPr>
              <w:snapToGrid w:val="0"/>
              <w:spacing w:line="360" w:lineRule="auto"/>
              <w:jc w:val="center"/>
              <w:rPr>
                <w:rFonts w:ascii="宋体" w:hAnsi="宋体" w:cs="宋体"/>
                <w:kern w:val="0"/>
              </w:rPr>
            </w:pPr>
            <w:r>
              <w:rPr>
                <w:rFonts w:hint="eastAsia" w:ascii="宋体" w:hAnsi="宋体" w:cs="宋体"/>
                <w:kern w:val="0"/>
              </w:rPr>
              <w:t>投标人确认收到招标文件修改</w:t>
            </w:r>
          </w:p>
        </w:tc>
        <w:tc>
          <w:tcPr>
            <w:tcW w:w="5726" w:type="dxa"/>
            <w:vAlign w:val="center"/>
          </w:tcPr>
          <w:p>
            <w:pPr>
              <w:snapToGrid w:val="0"/>
              <w:spacing w:line="360" w:lineRule="auto"/>
              <w:rPr>
                <w:rFonts w:ascii="宋体" w:hAnsi="宋体" w:cs="宋体"/>
                <w:kern w:val="0"/>
              </w:rPr>
            </w:pPr>
            <w:r>
              <w:rPr>
                <w:rFonts w:hint="eastAsia" w:ascii="宋体" w:hAnsi="宋体" w:cs="宋体"/>
                <w:kern w:val="0"/>
              </w:rPr>
              <w:t>时间：收到后1日</w:t>
            </w:r>
          </w:p>
          <w:p>
            <w:pPr>
              <w:snapToGrid w:val="0"/>
              <w:spacing w:line="360" w:lineRule="auto"/>
              <w:rPr>
                <w:rFonts w:ascii="宋体" w:hAnsi="宋体" w:cs="宋体"/>
                <w:kern w:val="0"/>
              </w:rPr>
            </w:pPr>
            <w:r>
              <w:rPr>
                <w:rFonts w:hint="eastAsia" w:ascii="宋体" w:hAnsi="宋体" w:cs="宋体"/>
                <w:kern w:val="0"/>
              </w:rPr>
              <w:t>形式：电子邮件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3.1.1</w:t>
            </w:r>
          </w:p>
        </w:tc>
        <w:tc>
          <w:tcPr>
            <w:tcW w:w="1843" w:type="dxa"/>
            <w:vAlign w:val="center"/>
          </w:tcPr>
          <w:p>
            <w:pPr>
              <w:snapToGrid w:val="0"/>
              <w:spacing w:line="360" w:lineRule="auto"/>
              <w:jc w:val="center"/>
              <w:rPr>
                <w:rFonts w:ascii="宋体" w:hAnsi="宋体" w:cs="宋体"/>
                <w:kern w:val="0"/>
              </w:rPr>
            </w:pPr>
            <w:r>
              <w:rPr>
                <w:rFonts w:hint="eastAsia" w:ascii="宋体" w:hAnsi="宋体" w:cs="宋体"/>
                <w:kern w:val="0"/>
              </w:rPr>
              <w:t>构成投标文件的其他资料</w:t>
            </w:r>
          </w:p>
        </w:tc>
        <w:tc>
          <w:tcPr>
            <w:tcW w:w="5726" w:type="dxa"/>
            <w:vAlign w:val="center"/>
          </w:tcPr>
          <w:p>
            <w:pPr>
              <w:snapToGrid w:val="0"/>
              <w:spacing w:line="360" w:lineRule="auto"/>
              <w:rPr>
                <w:rFonts w:ascii="宋体" w:hAnsi="宋体" w:cs="宋体"/>
                <w:kern w:val="0"/>
              </w:rPr>
            </w:pPr>
            <w:r>
              <w:rPr>
                <w:rFonts w:hint="eastAsia" w:ascii="宋体" w:hAnsi="宋体" w:cs="宋体"/>
                <w:kern w:val="0"/>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3.2.1</w:t>
            </w:r>
          </w:p>
        </w:tc>
        <w:tc>
          <w:tcPr>
            <w:tcW w:w="1843" w:type="dxa"/>
            <w:vAlign w:val="center"/>
          </w:tcPr>
          <w:p>
            <w:pPr>
              <w:snapToGrid w:val="0"/>
              <w:spacing w:line="360" w:lineRule="auto"/>
              <w:jc w:val="center"/>
              <w:rPr>
                <w:rFonts w:ascii="宋体" w:hAnsi="宋体" w:cs="宋体"/>
                <w:kern w:val="0"/>
              </w:rPr>
            </w:pPr>
            <w:r>
              <w:rPr>
                <w:rFonts w:hint="eastAsia" w:ascii="宋体" w:hAnsi="宋体" w:cs="宋体"/>
                <w:kern w:val="0"/>
              </w:rPr>
              <w:t>增值税税金的计算方法</w:t>
            </w:r>
          </w:p>
        </w:tc>
        <w:tc>
          <w:tcPr>
            <w:tcW w:w="5726" w:type="dxa"/>
            <w:vAlign w:val="center"/>
          </w:tcPr>
          <w:p>
            <w:pPr>
              <w:snapToGrid w:val="0"/>
              <w:spacing w:line="360" w:lineRule="auto"/>
              <w:rPr>
                <w:rFonts w:ascii="宋体" w:hAnsi="宋体" w:cs="宋体"/>
                <w:kern w:val="0"/>
              </w:rPr>
            </w:pPr>
            <w:r>
              <w:rPr>
                <w:rFonts w:hint="eastAsia" w:ascii="宋体" w:hAnsi="宋体" w:cs="宋体"/>
                <w:kern w:val="0"/>
              </w:rPr>
              <w:t>按国家法律及相关规定计算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3.2.2</w:t>
            </w:r>
          </w:p>
        </w:tc>
        <w:tc>
          <w:tcPr>
            <w:tcW w:w="1843" w:type="dxa"/>
            <w:vAlign w:val="center"/>
          </w:tcPr>
          <w:p>
            <w:pPr>
              <w:snapToGrid w:val="0"/>
              <w:spacing w:line="360" w:lineRule="auto"/>
              <w:jc w:val="center"/>
              <w:rPr>
                <w:rFonts w:ascii="宋体" w:hAnsi="宋体" w:cs="宋体"/>
                <w:kern w:val="0"/>
              </w:rPr>
            </w:pPr>
            <w:r>
              <w:rPr>
                <w:rFonts w:hint="eastAsia" w:ascii="宋体" w:hAnsi="宋体" w:cs="宋体"/>
                <w:kern w:val="0"/>
              </w:rPr>
              <w:t>最高投标限价</w:t>
            </w:r>
          </w:p>
        </w:tc>
        <w:tc>
          <w:tcPr>
            <w:tcW w:w="5726" w:type="dxa"/>
            <w:vAlign w:val="center"/>
          </w:tcPr>
          <w:p>
            <w:pPr>
              <w:snapToGrid w:val="0"/>
              <w:spacing w:line="360" w:lineRule="auto"/>
              <w:rPr>
                <w:rFonts w:ascii="宋体" w:hAnsi="宋体" w:cs="宋体"/>
                <w:kern w:val="0"/>
              </w:rPr>
            </w:pPr>
            <w:r>
              <w:rPr>
                <w:rFonts w:hint="eastAsia" w:ascii="宋体" w:hAnsi="宋体" w:cs="宋体"/>
                <w:kern w:val="0"/>
              </w:rPr>
              <w:sym w:font="Wingdings 2" w:char="00A3"/>
            </w:r>
            <w:r>
              <w:rPr>
                <w:rFonts w:hint="eastAsia" w:ascii="宋体" w:hAnsi="宋体" w:cs="宋体"/>
                <w:kern w:val="0"/>
              </w:rPr>
              <w:t>无</w:t>
            </w:r>
          </w:p>
          <w:p>
            <w:pPr>
              <w:snapToGrid w:val="0"/>
              <w:spacing w:line="360" w:lineRule="auto"/>
              <w:rPr>
                <w:rFonts w:ascii="宋体" w:hAnsi="宋体" w:cs="宋体"/>
                <w:kern w:val="0"/>
              </w:rPr>
            </w:pPr>
            <w:r>
              <w:rPr>
                <w:rFonts w:hint="eastAsia" w:ascii="宋体" w:hAnsi="宋体" w:cs="宋体"/>
                <w:kern w:val="0"/>
                <w:sz w:val="24"/>
                <w:szCs w:val="24"/>
                <w:shd w:val="clear" w:color="auto" w:fill="FFFFFF"/>
              </w:rPr>
              <w:t>■</w:t>
            </w:r>
            <w:r>
              <w:rPr>
                <w:rFonts w:hint="eastAsia" w:ascii="宋体" w:hAnsi="宋体" w:cs="宋体"/>
                <w:kern w:val="0"/>
              </w:rPr>
              <w:t>有，</w:t>
            </w:r>
            <w:r>
              <w:rPr>
                <w:rFonts w:hint="eastAsia" w:ascii="宋体" w:hAnsi="宋体" w:cs="宋体"/>
                <w:color w:val="FF0000"/>
                <w:kern w:val="0"/>
                <w:u w:val="single"/>
              </w:rPr>
              <w:t>最高投标限价：13.5万元</w:t>
            </w:r>
            <w:r>
              <w:rPr>
                <w:rFonts w:hint="eastAsia" w:ascii="宋体" w:hAnsi="宋体" w:cs="宋体"/>
                <w:kern w:val="0"/>
              </w:rPr>
              <w:t>，投标报价超过者按否决投标处理。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3.2.3</w:t>
            </w:r>
          </w:p>
        </w:tc>
        <w:tc>
          <w:tcPr>
            <w:tcW w:w="1843" w:type="dxa"/>
            <w:vAlign w:val="center"/>
          </w:tcPr>
          <w:p>
            <w:pPr>
              <w:snapToGrid w:val="0"/>
              <w:spacing w:line="360" w:lineRule="auto"/>
              <w:jc w:val="center"/>
              <w:rPr>
                <w:rFonts w:ascii="宋体" w:hAnsi="宋体" w:cs="宋体"/>
                <w:kern w:val="0"/>
              </w:rPr>
            </w:pPr>
            <w:r>
              <w:rPr>
                <w:rFonts w:hint="eastAsia" w:ascii="宋体" w:hAnsi="宋体" w:cs="宋体"/>
                <w:kern w:val="0"/>
              </w:rPr>
              <w:t>投标报价的其他要求</w:t>
            </w:r>
          </w:p>
        </w:tc>
        <w:tc>
          <w:tcPr>
            <w:tcW w:w="5726" w:type="dxa"/>
            <w:vAlign w:val="center"/>
          </w:tcPr>
          <w:p>
            <w:pPr>
              <w:snapToGrid w:val="0"/>
              <w:spacing w:line="360" w:lineRule="auto"/>
              <w:rPr>
                <w:rFonts w:ascii="宋体" w:hAnsi="宋体" w:cs="宋体"/>
                <w:kern w:val="0"/>
              </w:rPr>
            </w:pPr>
            <w:r>
              <w:rPr>
                <w:rFonts w:hint="eastAsia" w:ascii="宋体" w:hAnsi="宋体" w:cs="宋体"/>
                <w:kern w:val="0"/>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3.3.1</w:t>
            </w:r>
          </w:p>
        </w:tc>
        <w:tc>
          <w:tcPr>
            <w:tcW w:w="1843" w:type="dxa"/>
            <w:vAlign w:val="center"/>
          </w:tcPr>
          <w:p>
            <w:pPr>
              <w:snapToGrid w:val="0"/>
              <w:spacing w:line="360" w:lineRule="auto"/>
              <w:jc w:val="center"/>
              <w:rPr>
                <w:rFonts w:ascii="宋体" w:hAnsi="宋体" w:cs="宋体"/>
                <w:kern w:val="0"/>
              </w:rPr>
            </w:pPr>
            <w:r>
              <w:rPr>
                <w:rFonts w:hint="eastAsia" w:ascii="宋体" w:hAnsi="宋体" w:cs="宋体"/>
                <w:kern w:val="0"/>
              </w:rPr>
              <w:t>投标有效期</w:t>
            </w:r>
          </w:p>
        </w:tc>
        <w:tc>
          <w:tcPr>
            <w:tcW w:w="5726" w:type="dxa"/>
            <w:vAlign w:val="center"/>
          </w:tcPr>
          <w:p>
            <w:pPr>
              <w:snapToGrid w:val="0"/>
              <w:spacing w:line="360" w:lineRule="auto"/>
              <w:rPr>
                <w:rFonts w:ascii="宋体" w:hAnsi="宋体" w:cs="宋体"/>
                <w:kern w:val="0"/>
              </w:rPr>
            </w:pPr>
            <w:r>
              <w:rPr>
                <w:rFonts w:hint="eastAsia" w:ascii="宋体" w:hAnsi="宋体" w:cs="宋体"/>
                <w:kern w:val="0"/>
              </w:rPr>
              <w:t>45天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3.4.1</w:t>
            </w:r>
          </w:p>
        </w:tc>
        <w:tc>
          <w:tcPr>
            <w:tcW w:w="1843" w:type="dxa"/>
            <w:vAlign w:val="center"/>
          </w:tcPr>
          <w:p>
            <w:pPr>
              <w:snapToGrid w:val="0"/>
              <w:spacing w:line="360" w:lineRule="auto"/>
              <w:jc w:val="center"/>
              <w:rPr>
                <w:rFonts w:ascii="宋体" w:hAnsi="宋体" w:cs="宋体"/>
                <w:kern w:val="0"/>
              </w:rPr>
            </w:pPr>
            <w:r>
              <w:rPr>
                <w:rFonts w:hint="eastAsia" w:ascii="宋体" w:hAnsi="宋体" w:cs="宋体"/>
                <w:kern w:val="0"/>
              </w:rPr>
              <w:t>投标保证金</w:t>
            </w:r>
          </w:p>
        </w:tc>
        <w:tc>
          <w:tcPr>
            <w:tcW w:w="5726" w:type="dxa"/>
            <w:vAlign w:val="center"/>
          </w:tcPr>
          <w:p>
            <w:pPr>
              <w:snapToGrid w:val="0"/>
              <w:spacing w:line="360" w:lineRule="auto"/>
            </w:pPr>
            <w:r>
              <w:rPr>
                <w:rFonts w:hint="eastAsia"/>
              </w:rPr>
              <w:t>是否要求投标人递交投标保证金：</w:t>
            </w:r>
          </w:p>
          <w:p>
            <w:pPr>
              <w:snapToGrid w:val="0"/>
              <w:spacing w:line="360" w:lineRule="auto"/>
            </w:pPr>
            <w:r>
              <w:rPr>
                <w:rFonts w:hint="eastAsia" w:ascii="宋体" w:hAnsi="宋体" w:cs="宋体"/>
                <w:kern w:val="0"/>
              </w:rPr>
              <w:sym w:font="Wingdings 2" w:char="00A3"/>
            </w:r>
            <w:r>
              <w:rPr>
                <w:rFonts w:hint="eastAsia"/>
              </w:rPr>
              <w:t>要求</w:t>
            </w:r>
          </w:p>
          <w:p>
            <w:pPr>
              <w:snapToGrid w:val="0"/>
              <w:spacing w:line="360" w:lineRule="auto"/>
            </w:pPr>
            <w:r>
              <w:rPr>
                <w:rFonts w:hint="eastAsia" w:ascii="宋体" w:hAnsi="宋体" w:cs="宋体"/>
                <w:kern w:val="0"/>
                <w:sz w:val="24"/>
                <w:szCs w:val="24"/>
                <w:shd w:val="clear" w:color="auto" w:fill="FFFFFF"/>
              </w:rPr>
              <w:t>■</w:t>
            </w:r>
            <w:r>
              <w:rPr>
                <w:rFonts w:hint="eastAsia" w:ascii="宋体" w:hAnsi="宋体" w:cs="宋体"/>
                <w:b/>
                <w:bCs/>
                <w:color w:val="0000FF"/>
                <w:szCs w:val="21"/>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3.5</w:t>
            </w:r>
          </w:p>
        </w:tc>
        <w:tc>
          <w:tcPr>
            <w:tcW w:w="1843" w:type="dxa"/>
            <w:vAlign w:val="center"/>
          </w:tcPr>
          <w:p>
            <w:pPr>
              <w:snapToGrid w:val="0"/>
              <w:spacing w:line="360" w:lineRule="auto"/>
              <w:jc w:val="center"/>
              <w:rPr>
                <w:rFonts w:ascii="宋体" w:hAnsi="宋体" w:cs="宋体"/>
                <w:kern w:val="0"/>
              </w:rPr>
            </w:pPr>
            <w:r>
              <w:rPr>
                <w:rFonts w:hint="eastAsia" w:ascii="宋体" w:hAnsi="宋体" w:cs="宋体"/>
                <w:kern w:val="0"/>
              </w:rPr>
              <w:t>资格审查资料的特殊要求</w:t>
            </w:r>
          </w:p>
        </w:tc>
        <w:tc>
          <w:tcPr>
            <w:tcW w:w="5726" w:type="dxa"/>
            <w:vAlign w:val="center"/>
          </w:tcPr>
          <w:p>
            <w:pPr>
              <w:snapToGrid w:val="0"/>
              <w:spacing w:line="360" w:lineRule="auto"/>
              <w:rPr>
                <w:rFonts w:ascii="宋体" w:hAnsi="宋体" w:cs="宋体"/>
                <w:kern w:val="0"/>
              </w:rPr>
            </w:pPr>
            <w:r>
              <w:rPr>
                <w:rFonts w:hint="eastAsia" w:ascii="宋体" w:hAnsi="宋体" w:cs="宋体"/>
                <w:kern w:val="0"/>
              </w:rPr>
              <w:t>□无</w:t>
            </w:r>
          </w:p>
          <w:p>
            <w:pPr>
              <w:snapToGrid w:val="0"/>
              <w:spacing w:line="360" w:lineRule="auto"/>
              <w:rPr>
                <w:rFonts w:ascii="宋体" w:hAnsi="宋体" w:cs="宋体"/>
                <w:kern w:val="0"/>
              </w:rPr>
            </w:pPr>
            <w:r>
              <w:rPr>
                <w:rFonts w:hint="eastAsia" w:ascii="宋体" w:hAnsi="宋体" w:cs="宋体"/>
                <w:kern w:val="0"/>
                <w:sz w:val="24"/>
                <w:szCs w:val="24"/>
                <w:shd w:val="clear" w:color="auto" w:fill="FFFFFF"/>
              </w:rPr>
              <w:t>■</w:t>
            </w:r>
            <w:r>
              <w:rPr>
                <w:rFonts w:hint="eastAsia" w:ascii="宋体" w:hAnsi="宋体" w:cs="宋体"/>
                <w:kern w:val="0"/>
              </w:rPr>
              <w:t>有，具体要求：详见招标公告第四条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3.6.1</w:t>
            </w:r>
          </w:p>
        </w:tc>
        <w:tc>
          <w:tcPr>
            <w:tcW w:w="1843" w:type="dxa"/>
            <w:vAlign w:val="center"/>
          </w:tcPr>
          <w:p>
            <w:pPr>
              <w:snapToGrid w:val="0"/>
              <w:spacing w:line="360" w:lineRule="auto"/>
              <w:jc w:val="center"/>
              <w:rPr>
                <w:rFonts w:ascii="宋体" w:hAnsi="宋体" w:cs="宋体"/>
                <w:kern w:val="0"/>
              </w:rPr>
            </w:pPr>
            <w:r>
              <w:rPr>
                <w:rFonts w:hint="eastAsia" w:ascii="宋体" w:hAnsi="宋体" w:cs="宋体"/>
                <w:kern w:val="0"/>
              </w:rPr>
              <w:t>是否允许递交备选投标方案</w:t>
            </w:r>
          </w:p>
        </w:tc>
        <w:tc>
          <w:tcPr>
            <w:tcW w:w="5726" w:type="dxa"/>
            <w:vAlign w:val="center"/>
          </w:tcPr>
          <w:p>
            <w:pPr>
              <w:snapToGrid w:val="0"/>
              <w:spacing w:line="360" w:lineRule="auto"/>
              <w:rPr>
                <w:rFonts w:ascii="宋体" w:hAnsi="宋体" w:cs="宋体"/>
                <w:kern w:val="0"/>
              </w:rPr>
            </w:pPr>
            <w:r>
              <w:rPr>
                <w:rFonts w:hint="eastAsia" w:ascii="宋体" w:hAnsi="宋体" w:cs="宋体"/>
                <w:kern w:val="0"/>
                <w:sz w:val="24"/>
                <w:szCs w:val="24"/>
                <w:shd w:val="clear" w:color="auto" w:fill="FFFFFF"/>
              </w:rPr>
              <w:t>■</w:t>
            </w:r>
            <w:r>
              <w:rPr>
                <w:rFonts w:hint="eastAsia" w:ascii="宋体" w:hAnsi="宋体" w:cs="宋体"/>
                <w:kern w:val="0"/>
              </w:rPr>
              <w:t>不允许</w:t>
            </w:r>
          </w:p>
          <w:p>
            <w:pPr>
              <w:snapToGrid w:val="0"/>
              <w:spacing w:line="360" w:lineRule="auto"/>
              <w:rPr>
                <w:rFonts w:ascii="宋体" w:hAnsi="宋体" w:cs="宋体"/>
                <w:kern w:val="0"/>
              </w:rPr>
            </w:pPr>
            <w:r>
              <w:rPr>
                <w:rFonts w:hint="eastAsia" w:ascii="宋体" w:hAnsi="宋体" w:cs="宋体"/>
                <w:kern w:val="0"/>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3.7.1</w:t>
            </w:r>
          </w:p>
        </w:tc>
        <w:tc>
          <w:tcPr>
            <w:tcW w:w="1843" w:type="dxa"/>
            <w:vAlign w:val="center"/>
          </w:tcPr>
          <w:p>
            <w:pPr>
              <w:snapToGrid w:val="0"/>
              <w:spacing w:line="360" w:lineRule="auto"/>
              <w:jc w:val="center"/>
              <w:rPr>
                <w:rFonts w:ascii="宋体" w:hAnsi="宋体" w:cs="宋体"/>
                <w:kern w:val="0"/>
              </w:rPr>
            </w:pPr>
            <w:r>
              <w:rPr>
                <w:rFonts w:hint="eastAsia" w:ascii="宋体" w:hAnsi="宋体" w:cs="宋体"/>
                <w:kern w:val="0"/>
              </w:rPr>
              <w:t>投标文件份数及其他要求</w:t>
            </w:r>
          </w:p>
        </w:tc>
        <w:tc>
          <w:tcPr>
            <w:tcW w:w="5726" w:type="dxa"/>
            <w:vAlign w:val="center"/>
          </w:tcPr>
          <w:p>
            <w:pPr>
              <w:snapToGrid w:val="0"/>
              <w:spacing w:line="360" w:lineRule="auto"/>
              <w:rPr>
                <w:rFonts w:ascii="宋体" w:hAnsi="宋体" w:cs="宋体"/>
                <w:kern w:val="0"/>
              </w:rPr>
            </w:pPr>
            <w:r>
              <w:rPr>
                <w:rFonts w:hint="eastAsia" w:ascii="宋体" w:hAnsi="宋体" w:cs="宋体"/>
                <w:kern w:val="0"/>
              </w:rPr>
              <w:t>投标文件正本份数：1份</w:t>
            </w:r>
          </w:p>
          <w:p>
            <w:pPr>
              <w:snapToGrid w:val="0"/>
              <w:spacing w:line="360" w:lineRule="auto"/>
              <w:rPr>
                <w:rFonts w:ascii="宋体" w:hAnsi="宋体" w:cs="宋体"/>
                <w:kern w:val="0"/>
              </w:rPr>
            </w:pPr>
            <w:r>
              <w:rPr>
                <w:rFonts w:hint="eastAsia" w:ascii="宋体" w:hAnsi="宋体" w:cs="宋体"/>
                <w:kern w:val="0"/>
              </w:rPr>
              <w:t>投标文件副本份数：2份</w:t>
            </w:r>
          </w:p>
          <w:p>
            <w:pPr>
              <w:snapToGrid w:val="0"/>
              <w:spacing w:line="360" w:lineRule="auto"/>
              <w:rPr>
                <w:rFonts w:ascii="宋体" w:hAnsi="宋体" w:cs="宋体"/>
                <w:color w:val="0000FF"/>
                <w:kern w:val="0"/>
              </w:rPr>
            </w:pPr>
            <w:r>
              <w:rPr>
                <w:rFonts w:hint="eastAsia" w:ascii="宋体" w:hAnsi="宋体" w:cs="宋体"/>
                <w:color w:val="0000FF"/>
                <w:kern w:val="0"/>
              </w:rPr>
              <w:t>是否要求提交电子版文件：是</w:t>
            </w:r>
          </w:p>
          <w:p>
            <w:pPr>
              <w:snapToGrid w:val="0"/>
              <w:spacing w:line="360" w:lineRule="auto"/>
              <w:rPr>
                <w:rFonts w:ascii="宋体" w:hAnsi="宋体" w:cs="宋体"/>
                <w:kern w:val="0"/>
              </w:rPr>
            </w:pPr>
            <w:r>
              <w:rPr>
                <w:rFonts w:hint="eastAsia" w:ascii="宋体" w:hAnsi="宋体" w:cs="宋体"/>
                <w:kern w:val="0"/>
              </w:rPr>
              <w:t>其他要求：电子版文件一般应为PDF格式、U盘形式，随纸质投标文件一并提交。电子版文件用于辅助评标和平台存档，投标人需承担电子版文件和纸质正本文件不一致造成的不利后果。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3.7.2</w:t>
            </w:r>
          </w:p>
        </w:tc>
        <w:tc>
          <w:tcPr>
            <w:tcW w:w="1843" w:type="dxa"/>
            <w:vAlign w:val="center"/>
          </w:tcPr>
          <w:p>
            <w:pPr>
              <w:snapToGrid w:val="0"/>
              <w:spacing w:line="360" w:lineRule="auto"/>
              <w:jc w:val="center"/>
              <w:rPr>
                <w:rFonts w:ascii="宋体" w:hAnsi="宋体" w:cs="宋体"/>
                <w:kern w:val="0"/>
              </w:rPr>
            </w:pPr>
            <w:r>
              <w:rPr>
                <w:rFonts w:hint="eastAsia" w:ascii="宋体" w:hAnsi="宋体" w:cs="宋体"/>
                <w:kern w:val="0"/>
              </w:rPr>
              <w:t>投标文件是否需分册装订</w:t>
            </w:r>
          </w:p>
        </w:tc>
        <w:tc>
          <w:tcPr>
            <w:tcW w:w="5726" w:type="dxa"/>
            <w:vAlign w:val="center"/>
          </w:tcPr>
          <w:p>
            <w:pPr>
              <w:snapToGrid w:val="0"/>
              <w:spacing w:line="360" w:lineRule="auto"/>
            </w:pPr>
            <w:r>
              <w:rPr>
                <w:rFonts w:hint="eastAsia"/>
              </w:rPr>
              <w:t>□不需要</w:t>
            </w:r>
          </w:p>
          <w:p>
            <w:pPr>
              <w:snapToGrid w:val="0"/>
              <w:spacing w:line="360" w:lineRule="auto"/>
            </w:pPr>
            <w:r>
              <w:rPr>
                <w:rFonts w:hint="eastAsia"/>
              </w:rPr>
              <w:t>■需要，分册装订要求：</w:t>
            </w:r>
          </w:p>
          <w:p>
            <w:pPr>
              <w:snapToGrid w:val="0"/>
              <w:spacing w:line="360" w:lineRule="auto"/>
              <w:rPr>
                <w:rFonts w:ascii="宋体" w:hAnsi="宋体" w:cs="宋体"/>
                <w:kern w:val="0"/>
              </w:rPr>
            </w:pPr>
            <w:r>
              <w:rPr>
                <w:rFonts w:hint="eastAsia" w:ascii="宋体" w:hAnsi="宋体" w:cs="宋体"/>
                <w:kern w:val="0"/>
              </w:rPr>
              <w:t>装订要求：除特别说明外，全套投标文件的书面部分均使用A4规格纸张无线胶装方式装订，不得采用活页夹等可随时拆换的方式装订。</w:t>
            </w:r>
          </w:p>
          <w:p>
            <w:pPr>
              <w:snapToGrid w:val="0"/>
              <w:spacing w:line="360" w:lineRule="auto"/>
            </w:pPr>
            <w:r>
              <w:rPr>
                <w:rFonts w:hint="eastAsia" w:ascii="宋体" w:hAnsi="宋体" w:cs="宋体"/>
                <w:kern w:val="0"/>
              </w:rPr>
              <w:t>密封要求：投标人应将投标文件正本和副本分别密封包装。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4.1.1</w:t>
            </w:r>
          </w:p>
        </w:tc>
        <w:tc>
          <w:tcPr>
            <w:tcW w:w="1843" w:type="dxa"/>
            <w:vAlign w:val="center"/>
          </w:tcPr>
          <w:p>
            <w:pPr>
              <w:snapToGrid w:val="0"/>
              <w:spacing w:line="360" w:lineRule="auto"/>
              <w:jc w:val="center"/>
              <w:rPr>
                <w:rFonts w:ascii="宋体" w:hAnsi="宋体" w:cs="宋体"/>
                <w:kern w:val="0"/>
              </w:rPr>
            </w:pPr>
            <w:r>
              <w:rPr>
                <w:rFonts w:hint="eastAsia" w:ascii="宋体" w:hAnsi="宋体" w:cs="宋体"/>
                <w:kern w:val="0"/>
              </w:rPr>
              <w:t>封套上应载明的信息</w:t>
            </w:r>
          </w:p>
        </w:tc>
        <w:tc>
          <w:tcPr>
            <w:tcW w:w="5726" w:type="dxa"/>
            <w:vAlign w:val="center"/>
          </w:tcPr>
          <w:p>
            <w:pPr>
              <w:snapToGrid w:val="0"/>
              <w:spacing w:line="360" w:lineRule="auto"/>
              <w:rPr>
                <w:rFonts w:ascii="宋体" w:hAnsi="宋体" w:cs="宋体"/>
                <w:kern w:val="0"/>
              </w:rPr>
            </w:pPr>
            <w:r>
              <w:rPr>
                <w:rFonts w:hint="eastAsia" w:ascii="宋体" w:hAnsi="宋体" w:cs="宋体"/>
                <w:kern w:val="0"/>
              </w:rPr>
              <w:t>（项目名称）（设备名称）采购招标项目投标文件</w:t>
            </w:r>
          </w:p>
          <w:p>
            <w:pPr>
              <w:snapToGrid w:val="0"/>
              <w:spacing w:line="360" w:lineRule="auto"/>
              <w:rPr>
                <w:rFonts w:ascii="宋体" w:hAnsi="宋体" w:cs="宋体"/>
                <w:kern w:val="0"/>
              </w:rPr>
            </w:pPr>
            <w:r>
              <w:rPr>
                <w:rFonts w:hint="eastAsia" w:ascii="宋体" w:hAnsi="宋体" w:cs="宋体"/>
                <w:kern w:val="0"/>
              </w:rPr>
              <w:t>招标编号：</w:t>
            </w:r>
          </w:p>
          <w:p>
            <w:pPr>
              <w:snapToGrid w:val="0"/>
              <w:spacing w:line="360" w:lineRule="auto"/>
              <w:rPr>
                <w:rFonts w:ascii="宋体" w:hAnsi="宋体" w:cs="宋体"/>
                <w:kern w:val="0"/>
              </w:rPr>
            </w:pPr>
            <w:r>
              <w:rPr>
                <w:rFonts w:hint="eastAsia" w:ascii="宋体" w:hAnsi="宋体" w:cs="宋体"/>
                <w:kern w:val="0"/>
              </w:rPr>
              <w:t>标段名称：</w:t>
            </w:r>
          </w:p>
          <w:p>
            <w:pPr>
              <w:snapToGrid w:val="0"/>
              <w:spacing w:line="360" w:lineRule="auto"/>
              <w:rPr>
                <w:rFonts w:ascii="宋体" w:hAnsi="宋体" w:cs="宋体"/>
                <w:kern w:val="0"/>
              </w:rPr>
            </w:pPr>
            <w:r>
              <w:rPr>
                <w:rFonts w:hint="eastAsia" w:ascii="宋体" w:hAnsi="宋体" w:cs="宋体"/>
                <w:kern w:val="0"/>
              </w:rPr>
              <w:t>标段编号：</w:t>
            </w:r>
          </w:p>
          <w:p>
            <w:pPr>
              <w:snapToGrid w:val="0"/>
              <w:spacing w:line="360" w:lineRule="auto"/>
              <w:rPr>
                <w:rFonts w:ascii="宋体" w:hAnsi="宋体" w:cs="宋体"/>
                <w:kern w:val="0"/>
              </w:rPr>
            </w:pPr>
            <w:r>
              <w:rPr>
                <w:rFonts w:hint="eastAsia" w:ascii="宋体" w:hAnsi="宋体" w:cs="宋体"/>
                <w:kern w:val="0"/>
              </w:rPr>
              <w:t xml:space="preserve">在 </w:t>
            </w:r>
            <w:r>
              <w:rPr>
                <w:rFonts w:hint="eastAsia" w:ascii="宋体" w:hAnsi="宋体" w:cs="宋体"/>
                <w:kern w:val="0"/>
              </w:rPr>
              <w:tab/>
            </w:r>
            <w:r>
              <w:rPr>
                <w:rFonts w:hint="eastAsia" w:ascii="宋体" w:hAnsi="宋体" w:cs="宋体"/>
                <w:kern w:val="0"/>
              </w:rPr>
              <w:t xml:space="preserve">年 </w:t>
            </w:r>
            <w:r>
              <w:rPr>
                <w:rFonts w:hint="eastAsia" w:ascii="宋体" w:hAnsi="宋体" w:cs="宋体"/>
                <w:kern w:val="0"/>
              </w:rPr>
              <w:tab/>
            </w:r>
            <w:r>
              <w:rPr>
                <w:rFonts w:hint="eastAsia" w:ascii="宋体" w:hAnsi="宋体" w:cs="宋体"/>
                <w:kern w:val="0"/>
              </w:rPr>
              <w:t xml:space="preserve">月 </w:t>
            </w:r>
            <w:r>
              <w:rPr>
                <w:rFonts w:hint="eastAsia" w:ascii="宋体" w:hAnsi="宋体" w:cs="宋体"/>
                <w:kern w:val="0"/>
              </w:rPr>
              <w:tab/>
            </w:r>
            <w:r>
              <w:rPr>
                <w:rFonts w:hint="eastAsia" w:ascii="宋体" w:hAnsi="宋体" w:cs="宋体"/>
                <w:kern w:val="0"/>
              </w:rPr>
              <w:t xml:space="preserve">日 </w:t>
            </w:r>
            <w:r>
              <w:rPr>
                <w:rFonts w:hint="eastAsia" w:ascii="宋体" w:hAnsi="宋体" w:cs="宋体"/>
                <w:kern w:val="0"/>
              </w:rPr>
              <w:tab/>
            </w:r>
            <w:r>
              <w:rPr>
                <w:rFonts w:hint="eastAsia" w:ascii="宋体" w:hAnsi="宋体" w:cs="宋体"/>
                <w:kern w:val="0"/>
              </w:rPr>
              <w:t>时前不得开启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4.2.1</w:t>
            </w:r>
          </w:p>
        </w:tc>
        <w:tc>
          <w:tcPr>
            <w:tcW w:w="1843" w:type="dxa"/>
            <w:vAlign w:val="center"/>
          </w:tcPr>
          <w:p>
            <w:pPr>
              <w:snapToGrid w:val="0"/>
              <w:spacing w:line="360" w:lineRule="auto"/>
              <w:jc w:val="center"/>
              <w:rPr>
                <w:rFonts w:ascii="宋体" w:hAnsi="宋体" w:cs="宋体"/>
                <w:kern w:val="0"/>
              </w:rPr>
            </w:pPr>
            <w:r>
              <w:rPr>
                <w:rFonts w:hint="eastAsia" w:ascii="宋体" w:hAnsi="宋体" w:cs="宋体"/>
                <w:kern w:val="0"/>
              </w:rPr>
              <w:t>投标截止时间</w:t>
            </w:r>
          </w:p>
        </w:tc>
        <w:tc>
          <w:tcPr>
            <w:tcW w:w="5726" w:type="dxa"/>
            <w:vAlign w:val="center"/>
          </w:tcPr>
          <w:p>
            <w:pPr>
              <w:snapToGrid w:val="0"/>
              <w:spacing w:line="360" w:lineRule="auto"/>
              <w:rPr>
                <w:rFonts w:ascii="宋体" w:hAnsi="宋体" w:cs="宋体"/>
                <w:kern w:val="0"/>
              </w:rPr>
            </w:pPr>
            <w:r>
              <w:rPr>
                <w:rFonts w:hint="eastAsia" w:ascii="宋体" w:hAnsi="宋体" w:cs="宋体"/>
                <w:kern w:val="0"/>
              </w:rPr>
              <w:t xml:space="preserve">详见招标公告第七条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4.2.2</w:t>
            </w:r>
          </w:p>
        </w:tc>
        <w:tc>
          <w:tcPr>
            <w:tcW w:w="1843" w:type="dxa"/>
            <w:vAlign w:val="center"/>
          </w:tcPr>
          <w:p>
            <w:pPr>
              <w:snapToGrid w:val="0"/>
              <w:spacing w:line="360" w:lineRule="auto"/>
              <w:jc w:val="center"/>
              <w:rPr>
                <w:rFonts w:ascii="宋体" w:hAnsi="宋体" w:cs="宋体"/>
                <w:kern w:val="0"/>
              </w:rPr>
            </w:pPr>
            <w:r>
              <w:rPr>
                <w:rFonts w:hint="eastAsia" w:ascii="宋体" w:hAnsi="宋体" w:cs="宋体"/>
                <w:kern w:val="0"/>
              </w:rPr>
              <w:t>递交投标文件地点</w:t>
            </w:r>
          </w:p>
        </w:tc>
        <w:tc>
          <w:tcPr>
            <w:tcW w:w="5726" w:type="dxa"/>
            <w:vAlign w:val="center"/>
          </w:tcPr>
          <w:p>
            <w:pPr>
              <w:snapToGrid w:val="0"/>
              <w:spacing w:line="360" w:lineRule="auto"/>
              <w:rPr>
                <w:rFonts w:ascii="宋体" w:hAnsi="宋体" w:cs="宋体"/>
                <w:kern w:val="0"/>
              </w:rPr>
            </w:pPr>
            <w:r>
              <w:rPr>
                <w:rFonts w:hint="eastAsia" w:ascii="宋体" w:hAnsi="宋体" w:cs="宋体"/>
                <w:kern w:val="0"/>
              </w:rPr>
              <w:t xml:space="preserve">详见招标公告第七条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4.2.3</w:t>
            </w:r>
          </w:p>
        </w:tc>
        <w:tc>
          <w:tcPr>
            <w:tcW w:w="1843" w:type="dxa"/>
            <w:vAlign w:val="center"/>
          </w:tcPr>
          <w:p>
            <w:pPr>
              <w:snapToGrid w:val="0"/>
              <w:spacing w:line="360" w:lineRule="auto"/>
              <w:jc w:val="center"/>
              <w:rPr>
                <w:rFonts w:ascii="宋体" w:hAnsi="宋体" w:cs="宋体"/>
                <w:kern w:val="0"/>
              </w:rPr>
            </w:pPr>
            <w:r>
              <w:rPr>
                <w:rFonts w:hint="eastAsia" w:ascii="宋体" w:hAnsi="宋体" w:cs="宋体"/>
                <w:kern w:val="0"/>
              </w:rPr>
              <w:t>投标文件是否退还</w:t>
            </w:r>
          </w:p>
        </w:tc>
        <w:tc>
          <w:tcPr>
            <w:tcW w:w="5726" w:type="dxa"/>
            <w:vAlign w:val="center"/>
          </w:tcPr>
          <w:p>
            <w:pPr>
              <w:snapToGrid w:val="0"/>
              <w:spacing w:line="360" w:lineRule="auto"/>
              <w:rPr>
                <w:rFonts w:ascii="宋体" w:hAnsi="宋体" w:cs="宋体"/>
                <w:kern w:val="0"/>
              </w:rPr>
            </w:pPr>
            <w:r>
              <w:rPr>
                <w:rFonts w:hint="eastAsia" w:ascii="宋体" w:hAnsi="宋体" w:cs="宋体"/>
                <w:kern w:val="0"/>
                <w:sz w:val="24"/>
                <w:szCs w:val="24"/>
                <w:shd w:val="clear" w:color="auto" w:fill="FFFFFF"/>
              </w:rPr>
              <w:t>■</w:t>
            </w:r>
            <w:r>
              <w:rPr>
                <w:rFonts w:hint="eastAsia" w:ascii="宋体" w:hAnsi="宋体" w:cs="宋体"/>
                <w:kern w:val="0"/>
              </w:rPr>
              <w:t>否</w:t>
            </w:r>
          </w:p>
          <w:p>
            <w:pPr>
              <w:snapToGrid w:val="0"/>
              <w:spacing w:line="360" w:lineRule="auto"/>
              <w:rPr>
                <w:rFonts w:ascii="宋体" w:hAnsi="宋体" w:cs="宋体"/>
                <w:kern w:val="0"/>
              </w:rPr>
            </w:pPr>
            <w:r>
              <w:rPr>
                <w:rFonts w:hint="eastAsia" w:ascii="宋体" w:hAnsi="宋体" w:cs="宋体"/>
                <w:kern w:val="0"/>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5.1</w:t>
            </w:r>
          </w:p>
        </w:tc>
        <w:tc>
          <w:tcPr>
            <w:tcW w:w="1843" w:type="dxa"/>
            <w:vAlign w:val="center"/>
          </w:tcPr>
          <w:p>
            <w:pPr>
              <w:snapToGrid w:val="0"/>
              <w:spacing w:line="360" w:lineRule="auto"/>
              <w:jc w:val="center"/>
              <w:rPr>
                <w:rFonts w:ascii="宋体" w:hAnsi="宋体" w:cs="宋体"/>
                <w:kern w:val="0"/>
              </w:rPr>
            </w:pPr>
            <w:r>
              <w:rPr>
                <w:rFonts w:hint="eastAsia" w:ascii="宋体" w:hAnsi="宋体" w:cs="宋体"/>
                <w:kern w:val="0"/>
              </w:rPr>
              <w:t>开标时间和地点</w:t>
            </w:r>
          </w:p>
        </w:tc>
        <w:tc>
          <w:tcPr>
            <w:tcW w:w="5726" w:type="dxa"/>
            <w:vAlign w:val="center"/>
          </w:tcPr>
          <w:p>
            <w:pPr>
              <w:snapToGrid w:val="0"/>
              <w:spacing w:line="360" w:lineRule="auto"/>
              <w:rPr>
                <w:rFonts w:ascii="宋体" w:hAnsi="宋体" w:cs="宋体"/>
                <w:kern w:val="0"/>
              </w:rPr>
            </w:pPr>
            <w:r>
              <w:rPr>
                <w:rFonts w:hint="eastAsia" w:ascii="宋体" w:hAnsi="宋体" w:cs="宋体"/>
                <w:kern w:val="0"/>
              </w:rPr>
              <w:t xml:space="preserve">开标时间：详见招标公告第七条  </w:t>
            </w:r>
          </w:p>
          <w:p>
            <w:pPr>
              <w:snapToGrid w:val="0"/>
              <w:spacing w:line="360" w:lineRule="auto"/>
              <w:rPr>
                <w:rFonts w:ascii="宋体" w:hAnsi="宋体" w:cs="宋体"/>
                <w:kern w:val="0"/>
              </w:rPr>
            </w:pPr>
            <w:r>
              <w:rPr>
                <w:rFonts w:hint="eastAsia" w:ascii="宋体" w:hAnsi="宋体" w:cs="宋体"/>
                <w:kern w:val="0"/>
              </w:rPr>
              <w:t xml:space="preserve">开标地点：详见招标公告第七条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5.2</w:t>
            </w:r>
          </w:p>
        </w:tc>
        <w:tc>
          <w:tcPr>
            <w:tcW w:w="1843" w:type="dxa"/>
            <w:vAlign w:val="center"/>
          </w:tcPr>
          <w:p>
            <w:pPr>
              <w:snapToGrid w:val="0"/>
              <w:spacing w:line="360" w:lineRule="auto"/>
              <w:jc w:val="center"/>
              <w:rPr>
                <w:rFonts w:ascii="宋体" w:hAnsi="宋体" w:cs="宋体"/>
                <w:kern w:val="0"/>
              </w:rPr>
            </w:pPr>
            <w:r>
              <w:rPr>
                <w:rFonts w:hint="eastAsia" w:ascii="宋体" w:hAnsi="宋体" w:cs="宋体"/>
                <w:kern w:val="0"/>
              </w:rPr>
              <w:t>开标程序</w:t>
            </w:r>
          </w:p>
        </w:tc>
        <w:tc>
          <w:tcPr>
            <w:tcW w:w="5726" w:type="dxa"/>
            <w:vAlign w:val="center"/>
          </w:tcPr>
          <w:p>
            <w:pPr>
              <w:snapToGrid w:val="0"/>
              <w:spacing w:line="360" w:lineRule="auto"/>
              <w:rPr>
                <w:rFonts w:ascii="宋体" w:hAnsi="宋体" w:cs="宋体"/>
                <w:kern w:val="0"/>
              </w:rPr>
            </w:pPr>
            <w:r>
              <w:rPr>
                <w:rFonts w:hint="eastAsia" w:ascii="宋体" w:hAnsi="宋体" w:cs="宋体"/>
                <w:kern w:val="0"/>
              </w:rPr>
              <w:t>开标顺序：递交投标文件的正序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6.1.1</w:t>
            </w:r>
          </w:p>
        </w:tc>
        <w:tc>
          <w:tcPr>
            <w:tcW w:w="1843" w:type="dxa"/>
            <w:vAlign w:val="center"/>
          </w:tcPr>
          <w:p>
            <w:pPr>
              <w:snapToGrid w:val="0"/>
              <w:spacing w:line="360" w:lineRule="auto"/>
              <w:jc w:val="center"/>
              <w:rPr>
                <w:rFonts w:ascii="宋体" w:hAnsi="宋体" w:cs="宋体"/>
                <w:kern w:val="0"/>
              </w:rPr>
            </w:pPr>
            <w:r>
              <w:rPr>
                <w:rFonts w:hint="eastAsia" w:ascii="宋体" w:hAnsi="宋体" w:cs="宋体"/>
                <w:kern w:val="0"/>
              </w:rPr>
              <w:t>评标委员会的组建</w:t>
            </w:r>
          </w:p>
        </w:tc>
        <w:tc>
          <w:tcPr>
            <w:tcW w:w="5726" w:type="dxa"/>
            <w:vAlign w:val="center"/>
          </w:tcPr>
          <w:p>
            <w:pPr>
              <w:snapToGrid w:val="0"/>
              <w:spacing w:line="360" w:lineRule="auto"/>
              <w:rPr>
                <w:rFonts w:ascii="宋体" w:hAnsi="宋体" w:cs="宋体"/>
                <w:kern w:val="0"/>
              </w:rPr>
            </w:pPr>
            <w:r>
              <w:rPr>
                <w:rFonts w:hint="eastAsia" w:ascii="宋体" w:hAnsi="宋体" w:cs="宋体"/>
                <w:color w:val="0000FF"/>
                <w:kern w:val="0"/>
              </w:rPr>
              <w:t>评标委员会构成：</w:t>
            </w:r>
            <w:r>
              <w:rPr>
                <w:rFonts w:hint="eastAsia" w:ascii="宋体" w:hAnsi="宋体" w:cs="宋体"/>
                <w:color w:val="0000FF"/>
                <w:kern w:val="0"/>
                <w:lang w:val="en-US" w:eastAsia="zh-CN"/>
              </w:rPr>
              <w:t>3</w:t>
            </w:r>
            <w:r>
              <w:rPr>
                <w:rFonts w:hint="eastAsia" w:ascii="宋体" w:hAnsi="宋体" w:cs="宋体"/>
                <w:color w:val="0000FF"/>
                <w:kern w:val="0"/>
              </w:rPr>
              <w:t>人（其中含招标人代表1人）。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6.1.2</w:t>
            </w:r>
          </w:p>
        </w:tc>
        <w:tc>
          <w:tcPr>
            <w:tcW w:w="1843" w:type="dxa"/>
            <w:vAlign w:val="center"/>
          </w:tcPr>
          <w:p>
            <w:pPr>
              <w:snapToGrid w:val="0"/>
              <w:spacing w:line="360" w:lineRule="auto"/>
              <w:jc w:val="center"/>
              <w:rPr>
                <w:rFonts w:ascii="宋体" w:hAnsi="宋体" w:cs="宋体"/>
                <w:kern w:val="0"/>
              </w:rPr>
            </w:pPr>
            <w:r>
              <w:rPr>
                <w:rFonts w:hint="eastAsia" w:ascii="宋体" w:hAnsi="宋体" w:cs="宋体"/>
                <w:kern w:val="0"/>
              </w:rPr>
              <w:t>评标委员会推荐中标候选人的人数</w:t>
            </w:r>
          </w:p>
        </w:tc>
        <w:tc>
          <w:tcPr>
            <w:tcW w:w="5726" w:type="dxa"/>
            <w:vAlign w:val="center"/>
          </w:tcPr>
          <w:p>
            <w:pPr>
              <w:snapToGrid w:val="0"/>
              <w:spacing w:line="360" w:lineRule="auto"/>
              <w:rPr>
                <w:rFonts w:ascii="宋体" w:hAnsi="宋体" w:cs="宋体"/>
                <w:kern w:val="0"/>
              </w:rPr>
            </w:pPr>
            <w:r>
              <w:rPr>
                <w:rFonts w:hint="eastAsia" w:ascii="宋体" w:hAnsi="宋体" w:cs="宋体"/>
                <w:kern w:val="0"/>
              </w:rPr>
              <w:t>3人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6.1.3</w:t>
            </w:r>
          </w:p>
        </w:tc>
        <w:tc>
          <w:tcPr>
            <w:tcW w:w="1843" w:type="dxa"/>
            <w:vAlign w:val="center"/>
          </w:tcPr>
          <w:p>
            <w:pPr>
              <w:snapToGrid w:val="0"/>
              <w:spacing w:line="360" w:lineRule="auto"/>
              <w:jc w:val="center"/>
              <w:rPr>
                <w:rFonts w:ascii="宋体" w:hAnsi="宋体" w:cs="宋体"/>
                <w:kern w:val="0"/>
              </w:rPr>
            </w:pPr>
            <w:r>
              <w:rPr>
                <w:rFonts w:hint="eastAsia" w:ascii="宋体" w:hAnsi="宋体" w:cs="宋体"/>
                <w:kern w:val="0"/>
              </w:rPr>
              <w:t>评分办法</w:t>
            </w:r>
          </w:p>
        </w:tc>
        <w:tc>
          <w:tcPr>
            <w:tcW w:w="5726" w:type="dxa"/>
            <w:vAlign w:val="center"/>
          </w:tcPr>
          <w:p>
            <w:pPr>
              <w:snapToGrid w:val="0"/>
              <w:spacing w:line="360" w:lineRule="auto"/>
              <w:rPr>
                <w:rFonts w:ascii="宋体" w:hAnsi="宋体" w:cs="宋体"/>
                <w:kern w:val="0"/>
              </w:rPr>
            </w:pPr>
            <w:bookmarkStart w:id="22" w:name="EB3aa1594205114bf380f53331102b3aeb"/>
            <w:r>
              <w:rPr>
                <w:rFonts w:hint="eastAsia" w:ascii="宋体" w:hAnsi="宋体" w:cs="宋体"/>
                <w:kern w:val="0"/>
                <w:u w:val="single"/>
              </w:rPr>
              <w:t>综合评分法：</w:t>
            </w:r>
            <w:r>
              <w:rPr>
                <w:rFonts w:hint="eastAsia" w:ascii="宋体" w:hAnsi="宋体" w:cs="宋体"/>
                <w:kern w:val="0"/>
              </w:rPr>
              <w:t>按照综合评分由高到低的顺序推荐中标候选人。</w:t>
            </w:r>
            <w:bookmarkEnd w:id="2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7.1</w:t>
            </w:r>
          </w:p>
        </w:tc>
        <w:tc>
          <w:tcPr>
            <w:tcW w:w="1843" w:type="dxa"/>
            <w:vAlign w:val="center"/>
          </w:tcPr>
          <w:p>
            <w:pPr>
              <w:snapToGrid w:val="0"/>
              <w:spacing w:line="360" w:lineRule="auto"/>
              <w:jc w:val="center"/>
              <w:rPr>
                <w:rFonts w:ascii="宋体" w:hAnsi="宋体" w:cs="宋体"/>
                <w:kern w:val="0"/>
              </w:rPr>
            </w:pPr>
            <w:r>
              <w:rPr>
                <w:rFonts w:hint="eastAsia" w:ascii="宋体" w:hAnsi="宋体" w:cs="宋体"/>
                <w:kern w:val="0"/>
              </w:rPr>
              <w:t>中标候选人公示媒介及期限</w:t>
            </w:r>
          </w:p>
        </w:tc>
        <w:tc>
          <w:tcPr>
            <w:tcW w:w="5726" w:type="dxa"/>
            <w:vAlign w:val="center"/>
          </w:tcPr>
          <w:p>
            <w:pPr>
              <w:snapToGrid w:val="0"/>
              <w:spacing w:line="360" w:lineRule="auto"/>
              <w:rPr>
                <w:rFonts w:ascii="宋体" w:hAnsi="宋体" w:cs="宋体"/>
                <w:kern w:val="0"/>
              </w:rPr>
            </w:pPr>
            <w:r>
              <w:rPr>
                <w:rFonts w:hint="eastAsia" w:ascii="宋体" w:hAnsi="宋体" w:cs="宋体"/>
                <w:kern w:val="0"/>
              </w:rPr>
              <w:t>公示媒介：</w:t>
            </w:r>
            <w:r>
              <w:rPr>
                <w:rFonts w:hint="eastAsia" w:ascii="宋体" w:hAnsi="宋体" w:cs="宋体"/>
                <w:kern w:val="0"/>
                <w:u w:val="single"/>
              </w:rPr>
              <w:t>扬州市城建国有资产控股(集团）有限责任公司网站</w:t>
            </w:r>
          </w:p>
          <w:p>
            <w:pPr>
              <w:snapToGrid w:val="0"/>
              <w:spacing w:line="360" w:lineRule="auto"/>
              <w:rPr>
                <w:rFonts w:ascii="宋体" w:hAnsi="宋体" w:cs="宋体"/>
                <w:kern w:val="0"/>
              </w:rPr>
            </w:pPr>
            <w:r>
              <w:rPr>
                <w:rFonts w:hint="eastAsia" w:ascii="宋体" w:hAnsi="宋体" w:cs="宋体"/>
                <w:kern w:val="0"/>
              </w:rPr>
              <w:t>公示期限：不少于3个工作日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7.2</w:t>
            </w:r>
          </w:p>
        </w:tc>
        <w:tc>
          <w:tcPr>
            <w:tcW w:w="1843" w:type="dxa"/>
            <w:vAlign w:val="center"/>
          </w:tcPr>
          <w:p>
            <w:pPr>
              <w:snapToGrid w:val="0"/>
              <w:spacing w:line="360" w:lineRule="auto"/>
              <w:jc w:val="center"/>
              <w:rPr>
                <w:rFonts w:ascii="宋体" w:hAnsi="宋体" w:cs="宋体"/>
                <w:kern w:val="0"/>
              </w:rPr>
            </w:pPr>
            <w:r>
              <w:rPr>
                <w:rFonts w:hint="eastAsia" w:ascii="宋体" w:hAnsi="宋体" w:cs="宋体"/>
                <w:kern w:val="0"/>
              </w:rPr>
              <w:t>是否授权评标委员会确定中标人</w:t>
            </w:r>
          </w:p>
        </w:tc>
        <w:tc>
          <w:tcPr>
            <w:tcW w:w="5726" w:type="dxa"/>
            <w:vAlign w:val="center"/>
          </w:tcPr>
          <w:p>
            <w:pPr>
              <w:snapToGrid w:val="0"/>
              <w:spacing w:line="360" w:lineRule="auto"/>
              <w:rPr>
                <w:rFonts w:ascii="宋体" w:hAnsi="宋体" w:cs="宋体"/>
                <w:b/>
                <w:bCs/>
                <w:color w:val="0000FF"/>
                <w:kern w:val="0"/>
              </w:rPr>
            </w:pPr>
            <w:r>
              <w:rPr>
                <w:rFonts w:hint="eastAsia" w:ascii="宋体" w:hAnsi="宋体" w:cs="宋体"/>
                <w:b/>
                <w:bCs/>
                <w:color w:val="0000FF"/>
                <w:kern w:val="0"/>
              </w:rPr>
              <w:sym w:font="Wingdings 2" w:char="0052"/>
            </w:r>
            <w:r>
              <w:rPr>
                <w:rFonts w:hint="eastAsia" w:ascii="宋体" w:hAnsi="宋体" w:cs="宋体"/>
                <w:b/>
                <w:bCs/>
                <w:color w:val="0000FF"/>
                <w:kern w:val="0"/>
              </w:rPr>
              <w:t>是</w:t>
            </w:r>
          </w:p>
          <w:p>
            <w:pPr>
              <w:snapToGrid w:val="0"/>
              <w:spacing w:line="360" w:lineRule="auto"/>
              <w:rPr>
                <w:rFonts w:ascii="宋体" w:hAnsi="宋体" w:cs="宋体"/>
                <w:kern w:val="0"/>
              </w:rPr>
            </w:pPr>
            <w:r>
              <w:rPr>
                <w:rFonts w:hint="eastAsia" w:ascii="宋体" w:hAnsi="宋体" w:cs="宋体"/>
                <w:kern w:val="0"/>
              </w:rPr>
              <w:sym w:font="Wingdings 2" w:char="00A3"/>
            </w:r>
            <w:r>
              <w:rPr>
                <w:rFonts w:hint="eastAsia" w:ascii="宋体" w:hAnsi="宋体" w:cs="宋体"/>
                <w:kern w:val="0"/>
              </w:rPr>
              <w:t>否，招标人确定排名第一中标候选人为中标人（入围供应商）。若其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7.3</w:t>
            </w:r>
          </w:p>
        </w:tc>
        <w:tc>
          <w:tcPr>
            <w:tcW w:w="1843" w:type="dxa"/>
            <w:vAlign w:val="center"/>
          </w:tcPr>
          <w:p>
            <w:pPr>
              <w:snapToGrid w:val="0"/>
              <w:spacing w:line="360" w:lineRule="auto"/>
              <w:jc w:val="center"/>
              <w:rPr>
                <w:rFonts w:ascii="宋体" w:hAnsi="宋体" w:cs="宋体"/>
                <w:kern w:val="0"/>
              </w:rPr>
            </w:pPr>
            <w:r>
              <w:rPr>
                <w:rFonts w:hint="eastAsia" w:ascii="宋体" w:hAnsi="宋体" w:cs="宋体"/>
                <w:kern w:val="0"/>
              </w:rPr>
              <w:t>履约保证金</w:t>
            </w:r>
          </w:p>
        </w:tc>
        <w:tc>
          <w:tcPr>
            <w:tcW w:w="5726" w:type="dxa"/>
            <w:vAlign w:val="center"/>
          </w:tcPr>
          <w:p>
            <w:pPr>
              <w:snapToGrid w:val="0"/>
              <w:spacing w:line="360" w:lineRule="auto"/>
              <w:rPr>
                <w:rFonts w:ascii="宋体" w:hAnsi="宋体" w:cs="宋体"/>
                <w:kern w:val="0"/>
              </w:rPr>
            </w:pPr>
            <w:r>
              <w:rPr>
                <w:rFonts w:hint="eastAsia" w:ascii="宋体" w:hAnsi="宋体" w:cs="宋体"/>
                <w:kern w:val="0"/>
              </w:rPr>
              <w:t>是否要求中标人提交履约保证金：</w:t>
            </w:r>
          </w:p>
          <w:p>
            <w:pPr>
              <w:snapToGrid w:val="0"/>
              <w:spacing w:line="360" w:lineRule="auto"/>
              <w:rPr>
                <w:rFonts w:ascii="宋体" w:hAnsi="宋体" w:cs="宋体"/>
                <w:kern w:val="0"/>
              </w:rPr>
            </w:pPr>
            <w:r>
              <w:rPr>
                <w:rFonts w:hint="eastAsia" w:ascii="宋体" w:hAnsi="宋体" w:cs="宋体"/>
                <w:kern w:val="0"/>
              </w:rPr>
              <w:t>□要求，履约保证金的形式：</w:t>
            </w:r>
            <w:r>
              <w:rPr>
                <w:rFonts w:hint="eastAsia" w:ascii="宋体" w:hAnsi="宋体" w:cs="宋体"/>
                <w:szCs w:val="21"/>
                <w:u w:val="single"/>
              </w:rPr>
              <w:t>/</w:t>
            </w:r>
          </w:p>
          <w:p>
            <w:pPr>
              <w:snapToGrid w:val="0"/>
              <w:spacing w:line="360" w:lineRule="auto"/>
              <w:rPr>
                <w:rFonts w:ascii="宋体" w:hAnsi="宋体" w:cs="宋体"/>
                <w:kern w:val="0"/>
              </w:rPr>
            </w:pPr>
            <w:r>
              <w:rPr>
                <w:rFonts w:hint="eastAsia" w:ascii="宋体" w:hAnsi="宋体" w:cs="宋体"/>
                <w:kern w:val="0"/>
              </w:rPr>
              <w:t>履约保证金的金额：</w:t>
            </w:r>
            <w:r>
              <w:rPr>
                <w:rFonts w:hint="eastAsia" w:ascii="宋体" w:hAnsi="宋体"/>
                <w:bCs/>
                <w:szCs w:val="21"/>
                <w:u w:val="single"/>
              </w:rPr>
              <w:t>/</w:t>
            </w:r>
          </w:p>
          <w:p>
            <w:pPr>
              <w:snapToGrid w:val="0"/>
              <w:spacing w:line="360" w:lineRule="auto"/>
              <w:rPr>
                <w:rFonts w:ascii="宋体" w:hAnsi="宋体" w:cs="宋体"/>
                <w:kern w:val="0"/>
              </w:rPr>
            </w:pPr>
            <w:r>
              <w:rPr>
                <w:rFonts w:hint="eastAsia" w:ascii="宋体" w:hAnsi="宋体" w:cs="宋体"/>
                <w:kern w:val="0"/>
                <w:sz w:val="24"/>
                <w:szCs w:val="24"/>
                <w:shd w:val="clear" w:color="auto" w:fill="FFFFFF"/>
              </w:rPr>
              <w:t>■</w:t>
            </w:r>
            <w:r>
              <w:rPr>
                <w:rFonts w:hint="eastAsia" w:ascii="宋体" w:hAnsi="宋体" w:cs="宋体"/>
                <w:color w:val="0000FF"/>
                <w:szCs w:val="21"/>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8</w:t>
            </w:r>
          </w:p>
        </w:tc>
        <w:tc>
          <w:tcPr>
            <w:tcW w:w="1843" w:type="dxa"/>
            <w:vAlign w:val="center"/>
          </w:tcPr>
          <w:p>
            <w:pPr>
              <w:snapToGrid w:val="0"/>
              <w:spacing w:line="360" w:lineRule="auto"/>
              <w:jc w:val="center"/>
              <w:rPr>
                <w:rFonts w:ascii="宋体" w:hAnsi="宋体" w:cs="宋体"/>
                <w:kern w:val="0"/>
              </w:rPr>
            </w:pPr>
            <w:r>
              <w:rPr>
                <w:rFonts w:hint="eastAsia" w:ascii="宋体" w:hAnsi="宋体"/>
                <w:szCs w:val="21"/>
              </w:rPr>
              <w:t>合同方式</w:t>
            </w:r>
          </w:p>
        </w:tc>
        <w:tc>
          <w:tcPr>
            <w:tcW w:w="5726" w:type="dxa"/>
            <w:vAlign w:val="center"/>
          </w:tcPr>
          <w:p>
            <w:pPr>
              <w:snapToGrid w:val="0"/>
              <w:spacing w:line="360" w:lineRule="auto"/>
              <w:rPr>
                <w:rFonts w:ascii="宋体" w:hAnsi="宋体" w:cs="宋体"/>
                <w:kern w:val="0"/>
              </w:rPr>
            </w:pPr>
            <w:r>
              <w:rPr>
                <w:rFonts w:hint="eastAsia" w:ascii="宋体" w:hAnsi="宋体"/>
                <w:snapToGrid w:val="0"/>
                <w:szCs w:val="21"/>
              </w:rPr>
              <w:t>本合同价款采用</w:t>
            </w:r>
            <w:r>
              <w:rPr>
                <w:rFonts w:hint="eastAsia" w:ascii="宋体" w:hAnsi="宋体"/>
                <w:snapToGrid w:val="0"/>
                <w:color w:val="FF0000"/>
                <w:szCs w:val="21"/>
                <w:u w:val="single"/>
              </w:rPr>
              <w:t xml:space="preserve"> </w:t>
            </w:r>
            <w:r>
              <w:rPr>
                <w:rFonts w:hint="eastAsia" w:ascii="宋体" w:hAnsi="宋体"/>
                <w:b/>
                <w:snapToGrid w:val="0"/>
                <w:color w:val="FF0000"/>
                <w:szCs w:val="21"/>
                <w:u w:val="single"/>
              </w:rPr>
              <w:t>固定总价合同</w:t>
            </w:r>
            <w:r>
              <w:rPr>
                <w:rFonts w:hint="eastAsia" w:ascii="宋体" w:hAnsi="宋体"/>
                <w:b/>
                <w:snapToGrid w:val="0"/>
                <w:szCs w:val="21"/>
                <w:u w:val="single"/>
              </w:rPr>
              <w:t xml:space="preserve"> </w:t>
            </w:r>
            <w:r>
              <w:rPr>
                <w:rFonts w:hint="eastAsia" w:ascii="宋体" w:hAnsi="宋体"/>
                <w:snapToGrid w:val="0"/>
                <w:szCs w:val="21"/>
              </w:rPr>
              <w:t>方式确定。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59" w:type="dxa"/>
            <w:vAlign w:val="center"/>
          </w:tcPr>
          <w:p>
            <w:pPr>
              <w:snapToGrid w:val="0"/>
              <w:spacing w:line="360" w:lineRule="auto"/>
              <w:jc w:val="center"/>
              <w:rPr>
                <w:rFonts w:ascii="宋体" w:hAnsi="宋体" w:cs="宋体"/>
                <w:kern w:val="0"/>
              </w:rPr>
            </w:pPr>
            <w:r>
              <w:rPr>
                <w:rFonts w:hint="eastAsia" w:ascii="宋体" w:hAnsi="宋体"/>
                <w:snapToGrid w:val="0"/>
                <w:szCs w:val="21"/>
              </w:rPr>
              <w:t>9</w:t>
            </w:r>
          </w:p>
        </w:tc>
        <w:tc>
          <w:tcPr>
            <w:tcW w:w="1843" w:type="dxa"/>
            <w:vAlign w:val="center"/>
          </w:tcPr>
          <w:p>
            <w:pPr>
              <w:snapToGrid w:val="0"/>
              <w:spacing w:line="360" w:lineRule="auto"/>
              <w:jc w:val="center"/>
              <w:rPr>
                <w:rFonts w:ascii="宋体" w:hAnsi="宋体" w:cs="宋体"/>
                <w:kern w:val="0"/>
              </w:rPr>
            </w:pPr>
            <w:r>
              <w:rPr>
                <w:rFonts w:hint="eastAsia" w:ascii="宋体" w:hAnsi="宋体"/>
                <w:snapToGrid w:val="0"/>
                <w:color w:val="0000FF"/>
                <w:szCs w:val="21"/>
                <w:highlight w:val="none"/>
                <w:lang w:eastAsia="zh-CN"/>
              </w:rPr>
              <w:t>项目款</w:t>
            </w:r>
            <w:r>
              <w:rPr>
                <w:rFonts w:hint="eastAsia" w:ascii="宋体" w:hAnsi="宋体"/>
                <w:snapToGrid w:val="0"/>
                <w:color w:val="0000FF"/>
                <w:szCs w:val="21"/>
                <w:highlight w:val="none"/>
              </w:rPr>
              <w:t>支付</w:t>
            </w:r>
          </w:p>
        </w:tc>
        <w:tc>
          <w:tcPr>
            <w:tcW w:w="5726" w:type="dxa"/>
            <w:vAlign w:val="center"/>
          </w:tcPr>
          <w:p>
            <w:pPr>
              <w:numPr>
                <w:ilvl w:val="0"/>
                <w:numId w:val="7"/>
              </w:numPr>
            </w:pPr>
            <w:r>
              <w:rPr>
                <w:rFonts w:hint="eastAsia"/>
              </w:rPr>
              <w:t>中标价即为合同价。</w:t>
            </w:r>
          </w:p>
          <w:p>
            <w:pPr>
              <w:numPr>
                <w:ilvl w:val="0"/>
                <w:numId w:val="7"/>
              </w:numPr>
            </w:pPr>
            <w:r>
              <w:rPr>
                <w:rFonts w:hint="eastAsia"/>
              </w:rPr>
              <w:t>第一次付款：项目完成，由甲方组织验收工作，双方在验收报告上签字确认后，甲方收到乙方开具的</w:t>
            </w:r>
            <w:r>
              <w:rPr>
                <w:rFonts w:hint="eastAsia"/>
                <w:b/>
                <w:bCs/>
              </w:rPr>
              <w:t>税率为6%的增值税专用发票</w:t>
            </w:r>
            <w:r>
              <w:rPr>
                <w:rFonts w:hint="eastAsia"/>
              </w:rPr>
              <w:t>后的10个工作日内，甲方向乙方支付合同总金额的90 % 款</w:t>
            </w:r>
            <w:bookmarkStart w:id="251" w:name="_GoBack"/>
            <w:bookmarkEnd w:id="251"/>
            <w:r>
              <w:rPr>
                <w:rFonts w:hint="eastAsia"/>
              </w:rPr>
              <w:t>项。</w:t>
            </w:r>
          </w:p>
          <w:p>
            <w:pPr>
              <w:numPr>
                <w:ilvl w:val="0"/>
                <w:numId w:val="7"/>
              </w:numPr>
            </w:pPr>
            <w:r>
              <w:rPr>
                <w:rFonts w:hint="eastAsia"/>
              </w:rPr>
              <w:t>第二次付款：在项目验收一年后，甲方收到乙方开具的</w:t>
            </w:r>
            <w:r>
              <w:rPr>
                <w:rFonts w:hint="eastAsia"/>
                <w:b/>
                <w:bCs/>
              </w:rPr>
              <w:t>税率为6%的增值税专用发票</w:t>
            </w:r>
            <w:r>
              <w:rPr>
                <w:rFonts w:hint="eastAsia"/>
              </w:rPr>
              <w:t>后的10个工作日内，向乙方支付合同总金额的10%。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59" w:type="dxa"/>
            <w:vAlign w:val="center"/>
          </w:tcPr>
          <w:p>
            <w:pPr>
              <w:snapToGrid w:val="0"/>
              <w:spacing w:line="360" w:lineRule="auto"/>
              <w:jc w:val="center"/>
              <w:rPr>
                <w:rFonts w:ascii="宋体" w:hAnsi="宋体" w:cs="宋体"/>
                <w:kern w:val="0"/>
              </w:rPr>
            </w:pPr>
            <w:r>
              <w:rPr>
                <w:rFonts w:hint="eastAsia" w:ascii="宋体" w:hAnsi="宋体" w:cs="宋体"/>
                <w:kern w:val="0"/>
              </w:rPr>
              <w:t>10</w:t>
            </w:r>
          </w:p>
        </w:tc>
        <w:tc>
          <w:tcPr>
            <w:tcW w:w="1843" w:type="dxa"/>
            <w:vAlign w:val="center"/>
          </w:tcPr>
          <w:p>
            <w:pPr>
              <w:snapToGrid w:val="0"/>
              <w:spacing w:line="360" w:lineRule="auto"/>
              <w:jc w:val="center"/>
              <w:rPr>
                <w:rFonts w:ascii="宋体" w:hAnsi="宋体" w:cs="宋体"/>
                <w:kern w:val="0"/>
              </w:rPr>
            </w:pPr>
            <w:r>
              <w:rPr>
                <w:rFonts w:hint="eastAsia" w:ascii="宋体" w:hAnsi="宋体" w:cs="宋体"/>
                <w:kern w:val="0"/>
              </w:rPr>
              <w:t>其他</w:t>
            </w:r>
          </w:p>
        </w:tc>
        <w:tc>
          <w:tcPr>
            <w:tcW w:w="5726" w:type="dxa"/>
            <w:vAlign w:val="center"/>
          </w:tcPr>
          <w:p>
            <w:pPr>
              <w:snapToGrid w:val="0"/>
              <w:spacing w:line="360" w:lineRule="auto"/>
              <w:rPr>
                <w:rFonts w:ascii="宋体" w:hAnsi="宋体" w:cs="宋体"/>
                <w:b/>
                <w:bCs/>
                <w:color w:val="0000FF"/>
                <w:kern w:val="0"/>
              </w:rPr>
            </w:pPr>
            <w:r>
              <w:rPr>
                <w:rFonts w:hint="eastAsia" w:ascii="宋体" w:hAnsi="宋体" w:cs="宋体"/>
                <w:b/>
                <w:bCs/>
                <w:color w:val="0000FF"/>
                <w:kern w:val="0"/>
              </w:rPr>
              <w:t>10.1  招标服务费</w:t>
            </w:r>
          </w:p>
          <w:p>
            <w:pPr>
              <w:snapToGrid w:val="0"/>
              <w:spacing w:line="360" w:lineRule="auto"/>
              <w:ind w:firstLine="420" w:firstLineChars="200"/>
              <w:rPr>
                <w:rFonts w:ascii="宋体" w:hAnsi="宋体" w:cs="宋体"/>
                <w:kern w:val="0"/>
              </w:rPr>
            </w:pPr>
            <w:r>
              <w:rPr>
                <w:rFonts w:hint="eastAsia" w:ascii="宋体" w:hAnsi="宋体" w:cs="宋体"/>
                <w:color w:val="0000FF"/>
                <w:kern w:val="0"/>
              </w:rPr>
              <w:t>（1）招标代理费：</w:t>
            </w:r>
            <w:r>
              <w:rPr>
                <w:rFonts w:hint="eastAsia" w:ascii="宋体" w:hAnsi="宋体" w:cs="宋体"/>
                <w:kern w:val="0"/>
              </w:rPr>
              <w:t>本工程招标代理费由招标人按照委托代理合同的约定以发改委价格【2011】534号文服务类标准的7折支付给招标代理机构。</w:t>
            </w:r>
          </w:p>
          <w:p>
            <w:pPr>
              <w:snapToGrid w:val="0"/>
              <w:spacing w:line="360" w:lineRule="auto"/>
              <w:ind w:firstLine="420" w:firstLineChars="200"/>
              <w:rPr>
                <w:rFonts w:ascii="宋体" w:hAnsi="宋体" w:cs="宋体"/>
                <w:b/>
                <w:bCs/>
                <w:color w:val="0000FF"/>
                <w:kern w:val="0"/>
              </w:rPr>
            </w:pPr>
            <w:r>
              <w:rPr>
                <w:rFonts w:hint="eastAsia" w:ascii="宋体" w:hAnsi="宋体" w:cs="宋体"/>
                <w:color w:val="0000FF"/>
                <w:kern w:val="0"/>
              </w:rPr>
              <w:t>（2）专家评审费：</w:t>
            </w:r>
            <w:r>
              <w:rPr>
                <w:rFonts w:hint="eastAsia" w:ascii="宋体" w:hAnsi="宋体" w:cs="宋体"/>
                <w:kern w:val="0"/>
              </w:rPr>
              <w:t>评委费暂定</w:t>
            </w:r>
            <w:r>
              <w:rPr>
                <w:rFonts w:hint="eastAsia" w:ascii="宋体" w:hAnsi="宋体" w:cs="宋体"/>
                <w:kern w:val="0"/>
                <w:lang w:val="en-US" w:eastAsia="zh-CN"/>
              </w:rPr>
              <w:t>5</w:t>
            </w:r>
            <w:r>
              <w:rPr>
                <w:rFonts w:hint="eastAsia" w:ascii="宋体" w:hAnsi="宋体" w:cs="宋体"/>
                <w:kern w:val="0"/>
              </w:rPr>
              <w:t>00元/人，合计</w:t>
            </w:r>
            <w:r>
              <w:rPr>
                <w:rFonts w:hint="eastAsia" w:ascii="宋体" w:hAnsi="宋体" w:cs="宋体"/>
                <w:kern w:val="0"/>
                <w:lang w:val="en-US" w:eastAsia="zh-CN"/>
              </w:rPr>
              <w:t>1</w:t>
            </w:r>
            <w:r>
              <w:rPr>
                <w:rFonts w:hint="eastAsia" w:ascii="宋体" w:hAnsi="宋体" w:cs="宋体"/>
                <w:kern w:val="0"/>
              </w:rPr>
              <w:t>000元（评标委员会构成：</w:t>
            </w:r>
            <w:r>
              <w:rPr>
                <w:rFonts w:hint="eastAsia" w:ascii="宋体" w:hAnsi="宋体" w:cs="宋体"/>
                <w:kern w:val="0"/>
                <w:lang w:val="en-US" w:eastAsia="zh-CN"/>
              </w:rPr>
              <w:t>3</w:t>
            </w:r>
            <w:r>
              <w:rPr>
                <w:rFonts w:hint="eastAsia" w:ascii="宋体" w:hAnsi="宋体" w:cs="宋体"/>
                <w:kern w:val="0"/>
              </w:rPr>
              <w:t>人（其中含招标人代表1人）），由招标人在评标结束后以现金形式支付（</w:t>
            </w:r>
            <w:r>
              <w:rPr>
                <w:rFonts w:hint="eastAsia" w:ascii="宋体" w:hAnsi="宋体"/>
                <w:szCs w:val="21"/>
              </w:rPr>
              <w:t>按实结算</w:t>
            </w:r>
            <w:r>
              <w:rPr>
                <w:rFonts w:hint="eastAsia" w:ascii="宋体" w:hAnsi="宋体" w:cs="宋体"/>
                <w:kern w:val="0"/>
              </w:rPr>
              <w:t>）。</w:t>
            </w:r>
          </w:p>
          <w:p>
            <w:pPr>
              <w:snapToGrid w:val="0"/>
              <w:spacing w:line="360" w:lineRule="auto"/>
              <w:rPr>
                <w:rFonts w:ascii="宋体" w:hAnsi="宋体" w:cs="宋体"/>
                <w:kern w:val="0"/>
              </w:rPr>
            </w:pPr>
            <w:r>
              <w:rPr>
                <w:rFonts w:hint="eastAsia" w:ascii="宋体" w:hAnsi="宋体" w:cs="宋体"/>
                <w:kern w:val="0"/>
              </w:rPr>
              <w:t>10.2重新招标</w:t>
            </w:r>
          </w:p>
          <w:p>
            <w:pPr>
              <w:snapToGrid w:val="0"/>
              <w:spacing w:line="360" w:lineRule="auto"/>
              <w:rPr>
                <w:rFonts w:ascii="宋体" w:hAnsi="宋体" w:cs="宋体"/>
                <w:kern w:val="0"/>
              </w:rPr>
            </w:pPr>
            <w:r>
              <w:rPr>
                <w:rFonts w:hint="eastAsia" w:ascii="宋体" w:hAnsi="宋体" w:cs="宋体"/>
                <w:kern w:val="0"/>
              </w:rPr>
              <w:t>10.2.1有下列情形之一的，招标人将重新招标：</w:t>
            </w:r>
          </w:p>
          <w:p>
            <w:pPr>
              <w:snapToGrid w:val="0"/>
              <w:spacing w:line="360" w:lineRule="auto"/>
              <w:rPr>
                <w:rFonts w:ascii="宋体" w:hAnsi="宋体" w:cs="宋体"/>
                <w:kern w:val="0"/>
              </w:rPr>
            </w:pPr>
            <w:r>
              <w:rPr>
                <w:rFonts w:hint="eastAsia" w:ascii="宋体" w:hAnsi="宋体" w:cs="宋体"/>
                <w:kern w:val="0"/>
              </w:rPr>
              <w:t>（1）招标文件获取截止时间止，获取招标文件的潜在投标人少于3个的；</w:t>
            </w:r>
          </w:p>
          <w:p>
            <w:pPr>
              <w:snapToGrid w:val="0"/>
              <w:spacing w:line="360" w:lineRule="auto"/>
              <w:rPr>
                <w:rFonts w:ascii="宋体" w:hAnsi="宋体" w:cs="宋体"/>
                <w:kern w:val="0"/>
              </w:rPr>
            </w:pPr>
            <w:r>
              <w:rPr>
                <w:rFonts w:hint="eastAsia" w:ascii="宋体" w:hAnsi="宋体" w:cs="宋体"/>
                <w:kern w:val="0"/>
              </w:rPr>
              <w:t>（2）投标截止时间止，提交投标文件的投标人少于3个的；</w:t>
            </w:r>
          </w:p>
          <w:p>
            <w:pPr>
              <w:snapToGrid w:val="0"/>
              <w:spacing w:line="360" w:lineRule="auto"/>
              <w:rPr>
                <w:rFonts w:ascii="宋体" w:hAnsi="宋体" w:cs="宋体"/>
                <w:kern w:val="0"/>
              </w:rPr>
            </w:pPr>
            <w:r>
              <w:rPr>
                <w:rFonts w:hint="eastAsia" w:ascii="宋体" w:hAnsi="宋体" w:cs="宋体"/>
                <w:kern w:val="0"/>
              </w:rPr>
              <w:t>（3）经评标委员会评审后否决所有投标的；</w:t>
            </w:r>
          </w:p>
          <w:p>
            <w:pPr>
              <w:snapToGrid w:val="0"/>
              <w:spacing w:line="360" w:lineRule="auto"/>
              <w:rPr>
                <w:rFonts w:ascii="宋体" w:hAnsi="宋体" w:cs="宋体"/>
                <w:kern w:val="0"/>
              </w:rPr>
            </w:pPr>
            <w:r>
              <w:rPr>
                <w:rFonts w:hint="eastAsia" w:ascii="宋体" w:hAnsi="宋体" w:cs="宋体"/>
                <w:kern w:val="0"/>
              </w:rPr>
              <w:t>（4）评标委员会否决一部分投标后其他有效投标不足3个使得投标明显缺乏竞争，决定否决全部投标的；</w:t>
            </w:r>
          </w:p>
        </w:tc>
      </w:tr>
    </w:tbl>
    <w:p>
      <w:pPr>
        <w:pStyle w:val="5"/>
        <w:snapToGrid w:val="0"/>
        <w:spacing w:before="0" w:after="0" w:line="360" w:lineRule="auto"/>
        <w:rPr>
          <w:rFonts w:ascii="宋体" w:hAnsi="宋体" w:cs="宋体"/>
        </w:rPr>
      </w:pPr>
      <w:bookmarkStart w:id="23" w:name="_Toc10270"/>
      <w:bookmarkStart w:id="24" w:name="_Toc40699921"/>
      <w:bookmarkStart w:id="25" w:name="_Toc7471"/>
      <w:bookmarkStart w:id="26" w:name="_Toc27882"/>
      <w:bookmarkStart w:id="27" w:name="_Toc11015"/>
      <w:bookmarkStart w:id="28" w:name="_Toc27112"/>
      <w:bookmarkStart w:id="29" w:name="_Toc6265"/>
      <w:r>
        <w:rPr>
          <w:rFonts w:hint="eastAsia" w:ascii="宋体" w:hAnsi="宋体" w:cs="宋体"/>
        </w:rPr>
        <w:t>2.招标文件</w:t>
      </w:r>
      <w:bookmarkEnd w:id="23"/>
      <w:bookmarkEnd w:id="24"/>
      <w:bookmarkEnd w:id="25"/>
      <w:bookmarkEnd w:id="26"/>
      <w:bookmarkEnd w:id="27"/>
      <w:bookmarkEnd w:id="28"/>
      <w:bookmarkEnd w:id="29"/>
    </w:p>
    <w:p>
      <w:pPr>
        <w:snapToGrid w:val="0"/>
        <w:spacing w:line="360" w:lineRule="auto"/>
        <w:rPr>
          <w:rFonts w:ascii="宋体" w:hAnsi="宋体" w:cs="宋体"/>
          <w:kern w:val="0"/>
        </w:rPr>
      </w:pPr>
      <w:bookmarkStart w:id="30" w:name="_Toc20341"/>
      <w:bookmarkStart w:id="31" w:name="_Toc23403"/>
      <w:r>
        <w:rPr>
          <w:rFonts w:hint="eastAsia" w:ascii="宋体" w:hAnsi="宋体" w:cs="宋体"/>
          <w:kern w:val="0"/>
        </w:rPr>
        <w:t>2.1招标文件的组成</w:t>
      </w:r>
      <w:bookmarkEnd w:id="30"/>
      <w:bookmarkEnd w:id="31"/>
    </w:p>
    <w:p>
      <w:pPr>
        <w:snapToGrid w:val="0"/>
        <w:spacing w:line="360" w:lineRule="auto"/>
        <w:rPr>
          <w:rFonts w:ascii="宋体" w:hAnsi="宋体" w:cs="宋体"/>
          <w:kern w:val="0"/>
        </w:rPr>
      </w:pPr>
      <w:r>
        <w:rPr>
          <w:rFonts w:hint="eastAsia" w:ascii="宋体" w:hAnsi="宋体" w:cs="宋体"/>
          <w:kern w:val="0"/>
        </w:rPr>
        <w:t>本招标文件包括：</w:t>
      </w:r>
    </w:p>
    <w:p>
      <w:pPr>
        <w:snapToGrid w:val="0"/>
        <w:spacing w:line="360" w:lineRule="auto"/>
        <w:rPr>
          <w:rFonts w:ascii="宋体" w:hAnsi="宋体" w:cs="宋体"/>
          <w:kern w:val="0"/>
        </w:rPr>
      </w:pPr>
      <w:r>
        <w:rPr>
          <w:rFonts w:hint="eastAsia" w:ascii="宋体" w:hAnsi="宋体" w:cs="宋体"/>
          <w:kern w:val="0"/>
        </w:rPr>
        <w:t>（1）招标公告；</w:t>
      </w:r>
    </w:p>
    <w:p>
      <w:pPr>
        <w:snapToGrid w:val="0"/>
        <w:spacing w:line="360" w:lineRule="auto"/>
        <w:rPr>
          <w:rFonts w:ascii="宋体" w:hAnsi="宋体" w:cs="宋体"/>
          <w:kern w:val="0"/>
        </w:rPr>
      </w:pPr>
      <w:r>
        <w:rPr>
          <w:rFonts w:hint="eastAsia" w:ascii="宋体" w:hAnsi="宋体" w:cs="宋体"/>
          <w:kern w:val="0"/>
        </w:rPr>
        <w:t>（2）投标人须知；</w:t>
      </w:r>
    </w:p>
    <w:p>
      <w:pPr>
        <w:snapToGrid w:val="0"/>
        <w:spacing w:line="360" w:lineRule="auto"/>
        <w:rPr>
          <w:rFonts w:ascii="宋体" w:hAnsi="宋体" w:cs="宋体"/>
          <w:kern w:val="0"/>
        </w:rPr>
      </w:pPr>
      <w:r>
        <w:rPr>
          <w:rFonts w:hint="eastAsia" w:ascii="宋体" w:hAnsi="宋体" w:cs="宋体"/>
          <w:kern w:val="0"/>
        </w:rPr>
        <w:t>（3）评标办法；</w:t>
      </w:r>
    </w:p>
    <w:p>
      <w:pPr>
        <w:snapToGrid w:val="0"/>
        <w:spacing w:line="360" w:lineRule="auto"/>
        <w:rPr>
          <w:rFonts w:ascii="宋体" w:hAnsi="宋体" w:cs="宋体"/>
          <w:kern w:val="0"/>
        </w:rPr>
      </w:pPr>
      <w:r>
        <w:rPr>
          <w:rFonts w:hint="eastAsia" w:ascii="宋体" w:hAnsi="宋体" w:cs="宋体"/>
          <w:kern w:val="0"/>
        </w:rPr>
        <w:t>（4）合同条款及格式；</w:t>
      </w:r>
    </w:p>
    <w:p>
      <w:pPr>
        <w:snapToGrid w:val="0"/>
        <w:spacing w:line="360" w:lineRule="auto"/>
        <w:rPr>
          <w:rFonts w:ascii="宋体" w:hAnsi="宋体" w:cs="宋体"/>
          <w:kern w:val="0"/>
        </w:rPr>
      </w:pPr>
      <w:r>
        <w:rPr>
          <w:rFonts w:hint="eastAsia" w:ascii="宋体" w:hAnsi="宋体" w:cs="宋体"/>
          <w:kern w:val="0"/>
        </w:rPr>
        <w:t>（5）供货要求；</w:t>
      </w:r>
    </w:p>
    <w:p>
      <w:pPr>
        <w:snapToGrid w:val="0"/>
        <w:spacing w:line="360" w:lineRule="auto"/>
        <w:rPr>
          <w:rFonts w:ascii="宋体" w:hAnsi="宋体" w:cs="宋体"/>
          <w:kern w:val="0"/>
        </w:rPr>
      </w:pPr>
      <w:r>
        <w:rPr>
          <w:rFonts w:hint="eastAsia" w:ascii="宋体" w:hAnsi="宋体" w:cs="宋体"/>
          <w:kern w:val="0"/>
        </w:rPr>
        <w:t>（6）投标文件格式；</w:t>
      </w:r>
    </w:p>
    <w:p>
      <w:pPr>
        <w:snapToGrid w:val="0"/>
        <w:spacing w:line="360" w:lineRule="auto"/>
        <w:rPr>
          <w:rFonts w:ascii="宋体" w:hAnsi="宋体" w:cs="宋体"/>
          <w:kern w:val="0"/>
        </w:rPr>
      </w:pPr>
      <w:r>
        <w:rPr>
          <w:rFonts w:hint="eastAsia" w:ascii="宋体" w:hAnsi="宋体" w:cs="宋体"/>
          <w:kern w:val="0"/>
        </w:rPr>
        <w:t>（7）投标人须知前附表规定的其他资料。</w:t>
      </w:r>
    </w:p>
    <w:p>
      <w:pPr>
        <w:snapToGrid w:val="0"/>
        <w:spacing w:line="360" w:lineRule="auto"/>
        <w:rPr>
          <w:rFonts w:ascii="宋体" w:hAnsi="宋体" w:cs="宋体"/>
          <w:kern w:val="0"/>
        </w:rPr>
      </w:pPr>
      <w:r>
        <w:rPr>
          <w:rFonts w:hint="eastAsia" w:ascii="宋体" w:hAnsi="宋体" w:cs="宋体"/>
          <w:kern w:val="0"/>
        </w:rPr>
        <w:t>根据本章第1.9款、第2.2款和第2.3款对招标文件所作的澄清、修改，构成招标文件的组成部分。</w:t>
      </w:r>
    </w:p>
    <w:p>
      <w:pPr>
        <w:snapToGrid w:val="0"/>
        <w:spacing w:line="360" w:lineRule="auto"/>
        <w:rPr>
          <w:rFonts w:ascii="宋体" w:hAnsi="宋体" w:cs="宋体"/>
          <w:kern w:val="0"/>
        </w:rPr>
      </w:pPr>
      <w:bookmarkStart w:id="32" w:name="_Toc23892"/>
      <w:bookmarkStart w:id="33" w:name="_Toc23946"/>
      <w:r>
        <w:rPr>
          <w:rFonts w:hint="eastAsia" w:ascii="宋体" w:hAnsi="宋体" w:cs="宋体"/>
          <w:kern w:val="0"/>
        </w:rPr>
        <w:t>2.2招标文件的澄清</w:t>
      </w:r>
      <w:bookmarkEnd w:id="32"/>
      <w:bookmarkEnd w:id="33"/>
    </w:p>
    <w:p>
      <w:pPr>
        <w:snapToGrid w:val="0"/>
        <w:spacing w:line="360" w:lineRule="auto"/>
        <w:rPr>
          <w:rFonts w:ascii="宋体" w:hAnsi="宋体" w:cs="宋体"/>
          <w:kern w:val="0"/>
        </w:rPr>
      </w:pPr>
      <w:r>
        <w:rPr>
          <w:rFonts w:hint="eastAsia" w:ascii="宋体" w:hAnsi="宋体" w:cs="宋体"/>
          <w:kern w:val="0"/>
        </w:rPr>
        <w:t>2.2.1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snapToGrid w:val="0"/>
        <w:spacing w:line="360" w:lineRule="auto"/>
        <w:rPr>
          <w:rFonts w:ascii="宋体" w:hAnsi="宋体" w:cs="宋体"/>
          <w:kern w:val="0"/>
        </w:rPr>
      </w:pPr>
      <w:r>
        <w:rPr>
          <w:rFonts w:hint="eastAsia" w:ascii="宋体" w:hAnsi="宋体" w:cs="宋体"/>
          <w:kern w:val="0"/>
        </w:rPr>
        <w:t>2.2.2招标文件的澄清以投标人须知前附表规定的形式发给所有购买招标文件的投标人，但不指明澄清问题的来源。澄清内容可能影响投标文件编制的，将相应延长投标截止时间。</w:t>
      </w:r>
    </w:p>
    <w:p>
      <w:pPr>
        <w:snapToGrid w:val="0"/>
        <w:spacing w:line="360" w:lineRule="auto"/>
        <w:rPr>
          <w:rFonts w:ascii="宋体" w:hAnsi="宋体" w:cs="宋体"/>
          <w:kern w:val="0"/>
        </w:rPr>
      </w:pPr>
      <w:r>
        <w:rPr>
          <w:rFonts w:hint="eastAsia" w:ascii="宋体" w:hAnsi="宋体" w:cs="宋体"/>
          <w:kern w:val="0"/>
        </w:rPr>
        <w:t>2.2.3投标人在收到澄清后，应按投标人须知前附表规定的时间和形式通知招标人，确认已收到该澄清。</w:t>
      </w:r>
    </w:p>
    <w:p>
      <w:pPr>
        <w:snapToGrid w:val="0"/>
        <w:spacing w:line="360" w:lineRule="auto"/>
        <w:rPr>
          <w:rFonts w:ascii="宋体" w:hAnsi="宋体" w:cs="宋体"/>
          <w:kern w:val="0"/>
        </w:rPr>
      </w:pPr>
      <w:r>
        <w:rPr>
          <w:rFonts w:hint="eastAsia" w:ascii="宋体" w:hAnsi="宋体" w:cs="宋体"/>
          <w:kern w:val="0"/>
        </w:rPr>
        <w:t>2.2.4除非招标人认为确有必要答复，否则，招标人有权拒绝回复投标人在本章第2.2.1项规定的时间后的任何澄清要求。</w:t>
      </w:r>
    </w:p>
    <w:p>
      <w:pPr>
        <w:snapToGrid w:val="0"/>
        <w:spacing w:line="360" w:lineRule="auto"/>
        <w:rPr>
          <w:rFonts w:ascii="宋体" w:hAnsi="宋体" w:cs="宋体"/>
          <w:kern w:val="0"/>
        </w:rPr>
      </w:pPr>
      <w:bookmarkStart w:id="34" w:name="_Toc31609"/>
      <w:bookmarkStart w:id="35" w:name="_Toc20879"/>
      <w:r>
        <w:rPr>
          <w:rFonts w:hint="eastAsia" w:ascii="宋体" w:hAnsi="宋体" w:cs="宋体"/>
          <w:kern w:val="0"/>
        </w:rPr>
        <w:t>2.3招标文件的修改</w:t>
      </w:r>
      <w:bookmarkEnd w:id="34"/>
      <w:bookmarkEnd w:id="35"/>
    </w:p>
    <w:p>
      <w:pPr>
        <w:snapToGrid w:val="0"/>
        <w:spacing w:line="360" w:lineRule="auto"/>
        <w:rPr>
          <w:rFonts w:ascii="宋体" w:hAnsi="宋体" w:cs="宋体"/>
          <w:kern w:val="0"/>
        </w:rPr>
      </w:pPr>
      <w:r>
        <w:rPr>
          <w:rFonts w:hint="eastAsia" w:ascii="宋体" w:hAnsi="宋体" w:cs="宋体"/>
          <w:kern w:val="0"/>
        </w:rPr>
        <w:t>2.3.1招标人以投标人须知前附表规定的形式修改招标文件，并通知所有已报名的投标人。修改招标文件可能影响投标文件编制的，将相应延长投标截止时间。</w:t>
      </w:r>
    </w:p>
    <w:p>
      <w:pPr>
        <w:snapToGrid w:val="0"/>
        <w:spacing w:line="360" w:lineRule="auto"/>
        <w:rPr>
          <w:rFonts w:ascii="宋体" w:hAnsi="宋体" w:cs="宋体"/>
          <w:kern w:val="0"/>
        </w:rPr>
      </w:pPr>
      <w:r>
        <w:rPr>
          <w:rFonts w:hint="eastAsia" w:ascii="宋体" w:hAnsi="宋体" w:cs="宋体"/>
          <w:kern w:val="0"/>
        </w:rPr>
        <w:t>2.3.2投标人收到修改内容后，应按投标人须知前附表规定的时间和形式通知招标人，确认已收到该修改。</w:t>
      </w:r>
    </w:p>
    <w:p>
      <w:pPr>
        <w:snapToGrid w:val="0"/>
        <w:spacing w:line="360" w:lineRule="auto"/>
        <w:rPr>
          <w:rFonts w:ascii="宋体" w:hAnsi="宋体" w:cs="宋体"/>
          <w:kern w:val="0"/>
        </w:rPr>
      </w:pPr>
      <w:bookmarkStart w:id="36" w:name="_Toc19768"/>
      <w:bookmarkStart w:id="37" w:name="_Toc20227"/>
      <w:r>
        <w:rPr>
          <w:rFonts w:hint="eastAsia" w:ascii="宋体" w:hAnsi="宋体" w:cs="宋体"/>
          <w:kern w:val="0"/>
        </w:rPr>
        <w:t>2.4招标文件的异议</w:t>
      </w:r>
      <w:bookmarkEnd w:id="36"/>
      <w:bookmarkEnd w:id="37"/>
    </w:p>
    <w:p>
      <w:pPr>
        <w:snapToGrid w:val="0"/>
        <w:spacing w:line="360" w:lineRule="auto"/>
        <w:rPr>
          <w:rFonts w:ascii="宋体" w:hAnsi="宋体" w:cs="宋体"/>
          <w:kern w:val="0"/>
        </w:rPr>
      </w:pPr>
      <w:r>
        <w:rPr>
          <w:rFonts w:hint="eastAsia" w:ascii="宋体" w:hAnsi="宋体" w:cs="宋体"/>
          <w:kern w:val="0"/>
        </w:rPr>
        <w:t>投标人或者其他利害关系人对招标文件有异议的，应当在投标截止时间7日前以书面形式提出。招标人将在收到异议之日起1日内作出答复；作出答复前，将暂停招标投标活动。</w:t>
      </w:r>
    </w:p>
    <w:p>
      <w:pPr>
        <w:pStyle w:val="5"/>
        <w:snapToGrid w:val="0"/>
        <w:spacing w:before="0" w:after="0" w:line="360" w:lineRule="auto"/>
        <w:rPr>
          <w:rFonts w:ascii="宋体" w:hAnsi="宋体" w:cs="宋体"/>
        </w:rPr>
      </w:pPr>
      <w:bookmarkStart w:id="38" w:name="_Toc24442"/>
      <w:bookmarkStart w:id="39" w:name="_Toc19315"/>
      <w:bookmarkStart w:id="40" w:name="_Toc409"/>
      <w:bookmarkStart w:id="41" w:name="_Toc40699922"/>
      <w:bookmarkStart w:id="42" w:name="_Toc19459"/>
      <w:bookmarkStart w:id="43" w:name="_Toc27946"/>
      <w:bookmarkStart w:id="44" w:name="_Toc27658"/>
      <w:r>
        <w:rPr>
          <w:rFonts w:hint="eastAsia" w:ascii="宋体" w:hAnsi="宋体" w:cs="宋体"/>
        </w:rPr>
        <w:t>3.投标文件</w:t>
      </w:r>
      <w:bookmarkEnd w:id="38"/>
      <w:bookmarkEnd w:id="39"/>
      <w:bookmarkEnd w:id="40"/>
      <w:bookmarkEnd w:id="41"/>
      <w:bookmarkEnd w:id="42"/>
      <w:bookmarkEnd w:id="43"/>
      <w:bookmarkEnd w:id="44"/>
    </w:p>
    <w:p>
      <w:pPr>
        <w:snapToGrid w:val="0"/>
        <w:spacing w:line="360" w:lineRule="auto"/>
        <w:rPr>
          <w:rFonts w:ascii="宋体" w:hAnsi="宋体" w:cs="宋体"/>
          <w:kern w:val="0"/>
        </w:rPr>
      </w:pPr>
      <w:bookmarkStart w:id="45" w:name="_Toc8285"/>
      <w:bookmarkStart w:id="46" w:name="_Toc20351"/>
      <w:r>
        <w:rPr>
          <w:rFonts w:hint="eastAsia" w:ascii="宋体" w:hAnsi="宋体" w:cs="宋体"/>
          <w:kern w:val="0"/>
        </w:rPr>
        <w:t>3.1投标文件的组成</w:t>
      </w:r>
      <w:bookmarkEnd w:id="45"/>
      <w:bookmarkEnd w:id="46"/>
    </w:p>
    <w:p>
      <w:pPr>
        <w:snapToGrid w:val="0"/>
        <w:spacing w:line="360" w:lineRule="auto"/>
        <w:rPr>
          <w:rFonts w:ascii="宋体" w:hAnsi="宋体" w:cs="宋体"/>
          <w:kern w:val="0"/>
        </w:rPr>
      </w:pPr>
      <w:r>
        <w:rPr>
          <w:rFonts w:hint="eastAsia" w:ascii="宋体" w:hAnsi="宋体" w:cs="宋体"/>
          <w:kern w:val="0"/>
        </w:rPr>
        <w:t>3.1.1投标文件应包括下列内容（详见第六章投标文件组成）：</w:t>
      </w:r>
    </w:p>
    <w:p>
      <w:pPr>
        <w:snapToGrid w:val="0"/>
        <w:spacing w:line="360" w:lineRule="auto"/>
        <w:rPr>
          <w:rFonts w:ascii="宋体" w:hAnsi="宋体" w:cs="宋体"/>
          <w:kern w:val="0"/>
        </w:rPr>
      </w:pPr>
      <w:r>
        <w:rPr>
          <w:rFonts w:hint="eastAsia" w:ascii="宋体" w:hAnsi="宋体" w:cs="宋体"/>
          <w:kern w:val="0"/>
        </w:rPr>
        <w:t>（1）投标函；</w:t>
      </w:r>
    </w:p>
    <w:p>
      <w:pPr>
        <w:snapToGrid w:val="0"/>
        <w:spacing w:line="360" w:lineRule="auto"/>
        <w:rPr>
          <w:rFonts w:ascii="宋体" w:hAnsi="宋体" w:cs="宋体"/>
          <w:kern w:val="0"/>
        </w:rPr>
      </w:pPr>
      <w:r>
        <w:rPr>
          <w:rFonts w:hint="eastAsia" w:ascii="宋体" w:hAnsi="宋体" w:cs="宋体"/>
          <w:kern w:val="0"/>
        </w:rPr>
        <w:t>（2）法定代表人（单位负责人）身份证明；</w:t>
      </w:r>
    </w:p>
    <w:p>
      <w:pPr>
        <w:snapToGrid w:val="0"/>
        <w:spacing w:line="360" w:lineRule="auto"/>
        <w:rPr>
          <w:rFonts w:ascii="宋体" w:hAnsi="宋体" w:cs="宋体"/>
          <w:kern w:val="0"/>
        </w:rPr>
      </w:pPr>
      <w:r>
        <w:rPr>
          <w:rFonts w:hint="eastAsia" w:ascii="宋体" w:hAnsi="宋体" w:cs="宋体"/>
          <w:kern w:val="0"/>
        </w:rPr>
        <w:t>（3）授权委托书；</w:t>
      </w:r>
    </w:p>
    <w:p>
      <w:pPr>
        <w:snapToGrid w:val="0"/>
        <w:spacing w:line="360" w:lineRule="auto"/>
        <w:rPr>
          <w:rFonts w:ascii="宋体" w:hAnsi="宋体" w:cs="宋体"/>
          <w:kern w:val="0"/>
        </w:rPr>
      </w:pPr>
      <w:r>
        <w:rPr>
          <w:rFonts w:hint="eastAsia" w:ascii="宋体" w:hAnsi="宋体" w:cs="宋体"/>
          <w:kern w:val="0"/>
        </w:rPr>
        <w:t>（7）报价表；</w:t>
      </w:r>
    </w:p>
    <w:p>
      <w:pPr>
        <w:snapToGrid w:val="0"/>
        <w:spacing w:line="360" w:lineRule="auto"/>
        <w:rPr>
          <w:rFonts w:ascii="宋体" w:hAnsi="宋体" w:cs="宋体"/>
          <w:kern w:val="0"/>
        </w:rPr>
      </w:pPr>
      <w:r>
        <w:rPr>
          <w:rFonts w:hint="eastAsia" w:ascii="宋体" w:hAnsi="宋体" w:cs="宋体"/>
          <w:kern w:val="0"/>
        </w:rPr>
        <w:t>（8）资格审查资料；</w:t>
      </w:r>
    </w:p>
    <w:p>
      <w:pPr>
        <w:snapToGrid w:val="0"/>
        <w:spacing w:line="360" w:lineRule="auto"/>
        <w:rPr>
          <w:rFonts w:ascii="宋体" w:hAnsi="宋体" w:cs="宋体"/>
          <w:kern w:val="0"/>
        </w:rPr>
      </w:pPr>
      <w:r>
        <w:rPr>
          <w:rFonts w:hint="eastAsia" w:ascii="宋体" w:hAnsi="宋体" w:cs="宋体"/>
          <w:kern w:val="0"/>
        </w:rPr>
        <w:t>（9）其他</w:t>
      </w:r>
    </w:p>
    <w:p>
      <w:pPr>
        <w:snapToGrid w:val="0"/>
        <w:spacing w:line="360" w:lineRule="auto"/>
        <w:ind w:firstLine="420" w:firstLineChars="200"/>
        <w:rPr>
          <w:rFonts w:ascii="宋体" w:hAnsi="宋体" w:cs="宋体"/>
          <w:kern w:val="0"/>
        </w:rPr>
      </w:pPr>
      <w:r>
        <w:rPr>
          <w:rFonts w:hint="eastAsia" w:ascii="宋体" w:hAnsi="宋体" w:cs="宋体"/>
          <w:kern w:val="0"/>
        </w:rPr>
        <w:t>投标人在评标过程中作出的符合法律法规和招标文件规定的澄清确认，构成投标文件的组成部分。</w:t>
      </w:r>
    </w:p>
    <w:p>
      <w:pPr>
        <w:snapToGrid w:val="0"/>
        <w:spacing w:line="360" w:lineRule="auto"/>
        <w:rPr>
          <w:rFonts w:ascii="宋体" w:hAnsi="宋体" w:cs="宋体"/>
          <w:kern w:val="0"/>
        </w:rPr>
      </w:pPr>
      <w:bookmarkStart w:id="47" w:name="_Toc29090"/>
      <w:bookmarkStart w:id="48" w:name="_Toc10812"/>
      <w:r>
        <w:rPr>
          <w:rFonts w:hint="eastAsia" w:ascii="宋体" w:hAnsi="宋体" w:cs="宋体"/>
          <w:kern w:val="0"/>
        </w:rPr>
        <w:t>3.2投标报价</w:t>
      </w:r>
      <w:bookmarkEnd w:id="47"/>
      <w:bookmarkEnd w:id="48"/>
    </w:p>
    <w:p>
      <w:pPr>
        <w:snapToGrid w:val="0"/>
        <w:spacing w:line="360" w:lineRule="auto"/>
        <w:rPr>
          <w:rFonts w:ascii="宋体" w:hAnsi="宋体" w:cs="宋体"/>
          <w:kern w:val="0"/>
        </w:rPr>
      </w:pPr>
      <w:r>
        <w:rPr>
          <w:rFonts w:hint="eastAsia" w:ascii="宋体" w:hAnsi="宋体" w:cs="宋体"/>
          <w:kern w:val="0"/>
        </w:rPr>
        <w:t>3.2.1报价为一次报价，于开标会议当天当场宣读。</w:t>
      </w:r>
    </w:p>
    <w:p>
      <w:pPr>
        <w:snapToGrid w:val="0"/>
        <w:spacing w:line="360" w:lineRule="auto"/>
        <w:rPr>
          <w:rFonts w:ascii="宋体" w:hAnsi="宋体" w:cs="宋体"/>
          <w:kern w:val="0"/>
        </w:rPr>
      </w:pPr>
      <w:r>
        <w:rPr>
          <w:rFonts w:hint="eastAsia" w:ascii="宋体" w:hAnsi="宋体" w:cs="宋体"/>
          <w:kern w:val="0"/>
        </w:rPr>
        <w:t>3.2.2本项目不接受备选的投标方案或有选择的报价，只允许有一个报价。投标报价内容包括:设备单价以及合计总价</w:t>
      </w:r>
    </w:p>
    <w:p>
      <w:pPr>
        <w:snapToGrid w:val="0"/>
        <w:spacing w:line="360" w:lineRule="auto"/>
        <w:rPr>
          <w:rFonts w:ascii="宋体" w:hAnsi="宋体" w:cs="宋体"/>
          <w:kern w:val="0"/>
        </w:rPr>
      </w:pPr>
      <w:r>
        <w:rPr>
          <w:rFonts w:hint="eastAsia" w:ascii="宋体" w:hAnsi="宋体" w:cs="宋体"/>
          <w:kern w:val="0"/>
        </w:rPr>
        <w:t>3.2.3价格一律以人民币计算，以元为单位标准；</w:t>
      </w:r>
    </w:p>
    <w:p>
      <w:pPr>
        <w:snapToGrid w:val="0"/>
        <w:spacing w:line="360" w:lineRule="auto"/>
        <w:rPr>
          <w:rFonts w:ascii="宋体" w:hAnsi="宋体" w:cs="宋体"/>
          <w:kern w:val="0"/>
        </w:rPr>
      </w:pPr>
      <w:r>
        <w:rPr>
          <w:rFonts w:hint="eastAsia" w:ascii="宋体" w:hAnsi="宋体" w:cs="宋体"/>
          <w:kern w:val="0"/>
        </w:rPr>
        <w:t>3.2.4投标报价应包括国家规定的增值税税金，除投标人须知前附表另有规定外，增值税税金按国家法律及相关规定计算。投标人应按第六章“投标文件格式”的要求在投标函中进行报价并填写分项报价表。</w:t>
      </w:r>
    </w:p>
    <w:p>
      <w:pPr>
        <w:snapToGrid w:val="0"/>
        <w:spacing w:line="360" w:lineRule="auto"/>
        <w:rPr>
          <w:rFonts w:ascii="宋体" w:hAnsi="宋体" w:cs="宋体"/>
          <w:kern w:val="0"/>
        </w:rPr>
      </w:pPr>
      <w:r>
        <w:rPr>
          <w:rFonts w:hint="eastAsia" w:ascii="宋体" w:hAnsi="宋体" w:cs="宋体"/>
          <w:kern w:val="0"/>
        </w:rPr>
        <w:t>3.2.5投标人应充分了解该项目的总体情况以及影响投标报价的其他要素，一旦评标结束最终中标，如发生漏、缺、少项，都将被认为是中标人的报价让利行为，损失自负。</w:t>
      </w:r>
    </w:p>
    <w:p>
      <w:pPr>
        <w:snapToGrid w:val="0"/>
        <w:spacing w:line="360" w:lineRule="auto"/>
        <w:rPr>
          <w:rFonts w:ascii="宋体" w:hAnsi="宋体" w:cs="宋体"/>
          <w:kern w:val="0"/>
        </w:rPr>
      </w:pPr>
      <w:r>
        <w:rPr>
          <w:rFonts w:hint="eastAsia" w:ascii="宋体" w:hAnsi="宋体" w:cs="宋体"/>
          <w:kern w:val="0"/>
        </w:rPr>
        <w:t>3.2.6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“分项报价表”中的相应报价。此修改须符合招标文件的有关要求。</w:t>
      </w:r>
    </w:p>
    <w:p>
      <w:pPr>
        <w:snapToGrid w:val="0"/>
        <w:spacing w:line="360" w:lineRule="auto"/>
        <w:rPr>
          <w:rFonts w:ascii="宋体" w:hAnsi="宋体" w:cs="宋体"/>
          <w:kern w:val="0"/>
        </w:rPr>
      </w:pPr>
      <w:r>
        <w:rPr>
          <w:rFonts w:hint="eastAsia" w:ascii="宋体" w:hAnsi="宋体" w:cs="宋体"/>
          <w:kern w:val="0"/>
        </w:rPr>
        <w:t>3.2.7招标人设有最高投标限价的，投标人的投标报价不得超过最高投标限价，最高投标限价在投标人须知前附表中载明。</w:t>
      </w:r>
    </w:p>
    <w:p>
      <w:pPr>
        <w:snapToGrid w:val="0"/>
        <w:spacing w:line="360" w:lineRule="auto"/>
        <w:rPr>
          <w:rFonts w:ascii="宋体" w:hAnsi="宋体" w:cs="宋体"/>
          <w:kern w:val="0"/>
        </w:rPr>
      </w:pPr>
      <w:r>
        <w:rPr>
          <w:rFonts w:hint="eastAsia" w:ascii="宋体" w:hAnsi="宋体" w:cs="宋体"/>
          <w:kern w:val="0"/>
        </w:rPr>
        <w:t>3.2.8投标报价的其他要求见投标人须知前附表。</w:t>
      </w:r>
    </w:p>
    <w:p>
      <w:pPr>
        <w:snapToGrid w:val="0"/>
        <w:spacing w:line="360" w:lineRule="auto"/>
        <w:rPr>
          <w:rFonts w:ascii="宋体" w:hAnsi="宋体" w:cs="宋体"/>
          <w:kern w:val="0"/>
        </w:rPr>
      </w:pPr>
      <w:bookmarkStart w:id="49" w:name="_Toc31979"/>
      <w:bookmarkStart w:id="50" w:name="_Toc16611"/>
      <w:r>
        <w:rPr>
          <w:rFonts w:hint="eastAsia" w:ascii="宋体" w:hAnsi="宋体" w:cs="宋体"/>
          <w:kern w:val="0"/>
        </w:rPr>
        <w:t>3.3投标有效期</w:t>
      </w:r>
      <w:bookmarkEnd w:id="49"/>
      <w:bookmarkEnd w:id="50"/>
    </w:p>
    <w:p>
      <w:pPr>
        <w:spacing w:line="360" w:lineRule="auto"/>
        <w:rPr>
          <w:rFonts w:ascii="宋体" w:hAnsi="宋体" w:cs="宋体"/>
          <w:kern w:val="0"/>
        </w:rPr>
      </w:pPr>
      <w:r>
        <w:rPr>
          <w:rFonts w:hint="eastAsia" w:ascii="宋体" w:hAnsi="宋体" w:cs="宋体"/>
          <w:kern w:val="0"/>
        </w:rPr>
        <w:t>3.3.1除投标人须知前附表另有规定外，投标有效期为 45天。投标有效期不满足招标文件要求的将视为非响应性文件予以拒绝。</w:t>
      </w:r>
    </w:p>
    <w:p>
      <w:pPr>
        <w:snapToGrid w:val="0"/>
        <w:spacing w:line="360" w:lineRule="auto"/>
        <w:rPr>
          <w:rFonts w:ascii="宋体" w:hAnsi="宋体" w:cs="宋体"/>
          <w:kern w:val="0"/>
        </w:rPr>
      </w:pPr>
      <w:r>
        <w:rPr>
          <w:rFonts w:hint="eastAsia" w:ascii="宋体" w:hAnsi="宋体" w:cs="宋体"/>
          <w:kern w:val="0"/>
        </w:rPr>
        <w:t>3.3.2在投标有效期内，投标人撤销投标文件的，应承担招标文件和法律规定的责任。</w:t>
      </w:r>
    </w:p>
    <w:p>
      <w:pPr>
        <w:snapToGrid w:val="0"/>
        <w:spacing w:line="360" w:lineRule="auto"/>
        <w:rPr>
          <w:rFonts w:ascii="宋体" w:hAnsi="宋体" w:cs="宋体"/>
          <w:kern w:val="0"/>
        </w:rPr>
      </w:pPr>
      <w:r>
        <w:rPr>
          <w:rFonts w:hint="eastAsia" w:ascii="宋体" w:hAnsi="宋体" w:cs="宋体"/>
          <w:kern w:val="0"/>
        </w:rPr>
        <w:t>3.3.3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及以现金或者支票形式递交的投标保证金的银行同期存款利息。</w:t>
      </w:r>
    </w:p>
    <w:p>
      <w:pPr>
        <w:snapToGrid w:val="0"/>
        <w:spacing w:line="360" w:lineRule="auto"/>
        <w:rPr>
          <w:rFonts w:ascii="宋体" w:hAnsi="宋体" w:cs="宋体"/>
          <w:b/>
          <w:bCs/>
          <w:kern w:val="0"/>
        </w:rPr>
      </w:pPr>
      <w:bookmarkStart w:id="51" w:name="_Toc25580"/>
      <w:bookmarkStart w:id="52" w:name="_Toc16343"/>
      <w:r>
        <w:rPr>
          <w:rFonts w:hint="eastAsia" w:ascii="宋体" w:hAnsi="宋体" w:cs="宋体"/>
          <w:b/>
          <w:bCs/>
          <w:kern w:val="0"/>
        </w:rPr>
        <w:t>3.4投标保证金</w:t>
      </w:r>
      <w:bookmarkEnd w:id="51"/>
      <w:bookmarkEnd w:id="52"/>
    </w:p>
    <w:p>
      <w:pPr>
        <w:snapToGrid w:val="0"/>
        <w:spacing w:line="360" w:lineRule="auto"/>
        <w:rPr>
          <w:rFonts w:ascii="宋体" w:hAnsi="宋体" w:cs="宋体"/>
          <w:kern w:val="0"/>
        </w:rPr>
      </w:pPr>
      <w:r>
        <w:rPr>
          <w:rFonts w:hint="eastAsia" w:ascii="宋体" w:hAnsi="宋体" w:cs="宋体"/>
          <w:kern w:val="0"/>
        </w:rPr>
        <w:t>本工程不需递交投标保证金。</w:t>
      </w:r>
    </w:p>
    <w:p>
      <w:pPr>
        <w:snapToGrid w:val="0"/>
        <w:spacing w:line="360" w:lineRule="auto"/>
        <w:rPr>
          <w:rFonts w:ascii="宋体" w:hAnsi="宋体" w:cs="宋体"/>
          <w:kern w:val="0"/>
        </w:rPr>
      </w:pPr>
      <w:bookmarkStart w:id="53" w:name="_Toc16877"/>
      <w:bookmarkStart w:id="54" w:name="_Toc5055"/>
      <w:r>
        <w:rPr>
          <w:rFonts w:hint="eastAsia" w:ascii="宋体" w:hAnsi="宋体" w:cs="宋体"/>
          <w:kern w:val="0"/>
        </w:rPr>
        <w:t>3.5资格审查资料</w:t>
      </w:r>
      <w:bookmarkEnd w:id="53"/>
      <w:bookmarkEnd w:id="54"/>
    </w:p>
    <w:p>
      <w:pPr>
        <w:snapToGrid w:val="0"/>
        <w:spacing w:line="360" w:lineRule="auto"/>
        <w:rPr>
          <w:rFonts w:ascii="宋体" w:hAnsi="宋体" w:cs="宋体"/>
          <w:kern w:val="0"/>
        </w:rPr>
      </w:pPr>
      <w:r>
        <w:rPr>
          <w:rFonts w:hint="eastAsia" w:ascii="宋体" w:hAnsi="宋体" w:cs="宋体"/>
          <w:kern w:val="0"/>
        </w:rPr>
        <w:t>详见招标公告要求。</w:t>
      </w:r>
    </w:p>
    <w:p>
      <w:pPr>
        <w:snapToGrid w:val="0"/>
        <w:spacing w:line="360" w:lineRule="auto"/>
        <w:rPr>
          <w:rFonts w:ascii="宋体" w:hAnsi="宋体" w:cs="宋体"/>
          <w:kern w:val="0"/>
        </w:rPr>
      </w:pPr>
      <w:r>
        <w:rPr>
          <w:rFonts w:hint="eastAsia" w:ascii="宋体" w:hAnsi="宋体" w:cs="宋体"/>
          <w:kern w:val="0"/>
        </w:rPr>
        <w:t>3.6（1）投标文件应用不褪色的材料书写或打印，投标函及对投标文件的澄清、说明和补正应由投标人的法定代表人（单位负责人）或其授权的代理人签字或盖单位章。由投标人的法定代表人（单位负责人）签字的，应附法定代表人（单位负责人）身份证明，由代理人签字的，应附授权委托书，身份证明或授权委托书应符合第六章“投标文件格式”的要求。投标文件应尽量避免涂改、行间插字或删除。如果出现上述情况，改动之处应由投标人的法定代表人（单位负责人）或其授权的代理人签字或盖单位章。</w:t>
      </w:r>
    </w:p>
    <w:p>
      <w:pPr>
        <w:snapToGrid w:val="0"/>
        <w:spacing w:line="360" w:lineRule="auto"/>
        <w:rPr>
          <w:rFonts w:ascii="宋体" w:hAnsi="宋体" w:cs="宋体"/>
          <w:kern w:val="0"/>
        </w:rPr>
      </w:pPr>
      <w:r>
        <w:rPr>
          <w:rFonts w:hint="eastAsia" w:ascii="宋体" w:hAnsi="宋体" w:cs="宋体"/>
          <w:kern w:val="0"/>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snapToGrid w:val="0"/>
        <w:spacing w:line="360" w:lineRule="auto"/>
        <w:rPr>
          <w:rFonts w:ascii="宋体" w:hAnsi="宋体" w:cs="宋体"/>
          <w:kern w:val="0"/>
        </w:rPr>
      </w:pPr>
      <w:r>
        <w:rPr>
          <w:rFonts w:hint="eastAsia" w:ascii="宋体" w:hAnsi="宋体" w:cs="宋体"/>
          <w:kern w:val="0"/>
        </w:rPr>
        <w:t>（3）投标文件的正本与副本应分别装订，并编制目录，投标文件需分册装订的，具体分册装订要求见投标人须知前附表规定。</w:t>
      </w:r>
    </w:p>
    <w:p>
      <w:pPr>
        <w:pStyle w:val="5"/>
        <w:snapToGrid w:val="0"/>
        <w:spacing w:before="0" w:after="0" w:line="360" w:lineRule="auto"/>
        <w:rPr>
          <w:rFonts w:ascii="宋体" w:hAnsi="宋体" w:cs="宋体"/>
        </w:rPr>
      </w:pPr>
      <w:bookmarkStart w:id="55" w:name="_Toc27613"/>
      <w:bookmarkStart w:id="56" w:name="_Toc16785"/>
      <w:bookmarkStart w:id="57" w:name="_Toc18087"/>
      <w:bookmarkStart w:id="58" w:name="_Toc40699923"/>
      <w:bookmarkStart w:id="59" w:name="_Toc27305"/>
      <w:bookmarkStart w:id="60" w:name="_Toc20354"/>
      <w:bookmarkStart w:id="61" w:name="_Toc4757"/>
      <w:r>
        <w:rPr>
          <w:rFonts w:hint="eastAsia" w:ascii="宋体" w:hAnsi="宋体" w:cs="宋体"/>
        </w:rPr>
        <w:t>4.投标</w:t>
      </w:r>
      <w:bookmarkEnd w:id="55"/>
      <w:bookmarkEnd w:id="56"/>
      <w:bookmarkEnd w:id="57"/>
      <w:bookmarkEnd w:id="58"/>
      <w:bookmarkEnd w:id="59"/>
      <w:bookmarkEnd w:id="60"/>
      <w:bookmarkEnd w:id="61"/>
    </w:p>
    <w:p>
      <w:pPr>
        <w:snapToGrid w:val="0"/>
        <w:spacing w:line="360" w:lineRule="auto"/>
        <w:rPr>
          <w:rFonts w:ascii="宋体" w:hAnsi="宋体" w:cs="宋体"/>
          <w:kern w:val="0"/>
        </w:rPr>
      </w:pPr>
      <w:bookmarkStart w:id="62" w:name="_Toc13130"/>
      <w:bookmarkStart w:id="63" w:name="_Toc6817"/>
      <w:r>
        <w:rPr>
          <w:rFonts w:hint="eastAsia" w:ascii="宋体" w:hAnsi="宋体" w:cs="宋体"/>
          <w:kern w:val="0"/>
        </w:rPr>
        <w:t>4.1投标文件的密封和标记</w:t>
      </w:r>
      <w:bookmarkEnd w:id="62"/>
      <w:bookmarkEnd w:id="63"/>
    </w:p>
    <w:p>
      <w:pPr>
        <w:snapToGrid w:val="0"/>
        <w:spacing w:line="360" w:lineRule="auto"/>
        <w:rPr>
          <w:rFonts w:ascii="宋体" w:hAnsi="宋体" w:cs="宋体"/>
          <w:kern w:val="0"/>
        </w:rPr>
      </w:pPr>
      <w:r>
        <w:rPr>
          <w:rFonts w:hint="eastAsia" w:ascii="宋体" w:hAnsi="宋体" w:cs="宋体"/>
          <w:kern w:val="0"/>
        </w:rPr>
        <w:t>4.1.1投标文件应密封包装，并在封套的封口处加盖投标人单位章或由投标人的法定代表人（单位负责人）或其授权的代理人签字。</w:t>
      </w:r>
    </w:p>
    <w:p>
      <w:pPr>
        <w:snapToGrid w:val="0"/>
        <w:spacing w:line="360" w:lineRule="auto"/>
        <w:rPr>
          <w:rFonts w:ascii="宋体" w:hAnsi="宋体" w:cs="宋体"/>
          <w:kern w:val="0"/>
        </w:rPr>
      </w:pPr>
      <w:r>
        <w:rPr>
          <w:rFonts w:hint="eastAsia" w:ascii="宋体" w:hAnsi="宋体" w:cs="宋体"/>
          <w:kern w:val="0"/>
        </w:rPr>
        <w:t>4.1.2投标文件封套上应写明的内容见投标人须知前附表。</w:t>
      </w:r>
    </w:p>
    <w:p>
      <w:pPr>
        <w:snapToGrid w:val="0"/>
        <w:spacing w:line="360" w:lineRule="auto"/>
        <w:rPr>
          <w:rFonts w:ascii="宋体" w:hAnsi="宋体" w:cs="宋体"/>
          <w:kern w:val="0"/>
        </w:rPr>
      </w:pPr>
      <w:r>
        <w:rPr>
          <w:rFonts w:hint="eastAsia" w:ascii="宋体" w:hAnsi="宋体" w:cs="宋体"/>
          <w:kern w:val="0"/>
        </w:rPr>
        <w:t>4.1.3未按本章第4.1.1项要求密封的投标文件，招标人将予以拒收。</w:t>
      </w:r>
    </w:p>
    <w:p>
      <w:pPr>
        <w:snapToGrid w:val="0"/>
        <w:spacing w:line="360" w:lineRule="auto"/>
        <w:rPr>
          <w:rFonts w:ascii="宋体" w:hAnsi="宋体" w:cs="宋体"/>
          <w:kern w:val="0"/>
        </w:rPr>
      </w:pPr>
      <w:bookmarkStart w:id="64" w:name="_Toc22461"/>
      <w:bookmarkStart w:id="65" w:name="_Toc18262"/>
      <w:r>
        <w:rPr>
          <w:rFonts w:hint="eastAsia" w:ascii="宋体" w:hAnsi="宋体" w:cs="宋体"/>
          <w:kern w:val="0"/>
        </w:rPr>
        <w:t>4.2投标文件的递交</w:t>
      </w:r>
      <w:bookmarkEnd w:id="64"/>
      <w:bookmarkEnd w:id="65"/>
    </w:p>
    <w:p>
      <w:pPr>
        <w:snapToGrid w:val="0"/>
        <w:spacing w:line="360" w:lineRule="auto"/>
        <w:rPr>
          <w:rFonts w:ascii="宋体" w:hAnsi="宋体" w:cs="宋体"/>
          <w:kern w:val="0"/>
        </w:rPr>
      </w:pPr>
      <w:r>
        <w:rPr>
          <w:rFonts w:hint="eastAsia" w:ascii="宋体" w:hAnsi="宋体" w:cs="宋体"/>
          <w:kern w:val="0"/>
        </w:rPr>
        <w:t>4.2.1投标人应在投标人须知前附表规定的投标截止时间前递交投标文件。</w:t>
      </w:r>
    </w:p>
    <w:p>
      <w:pPr>
        <w:snapToGrid w:val="0"/>
        <w:spacing w:line="360" w:lineRule="auto"/>
        <w:rPr>
          <w:rFonts w:ascii="宋体" w:hAnsi="宋体" w:cs="宋体"/>
          <w:kern w:val="0"/>
        </w:rPr>
      </w:pPr>
      <w:r>
        <w:rPr>
          <w:rFonts w:hint="eastAsia" w:ascii="宋体" w:hAnsi="宋体" w:cs="宋体"/>
          <w:kern w:val="0"/>
        </w:rPr>
        <w:t>4.2.2投标人递交投标文件的地点：见投标人须知前附表。</w:t>
      </w:r>
    </w:p>
    <w:p>
      <w:pPr>
        <w:snapToGrid w:val="0"/>
        <w:spacing w:line="360" w:lineRule="auto"/>
        <w:rPr>
          <w:rFonts w:ascii="宋体" w:hAnsi="宋体" w:cs="宋体"/>
          <w:kern w:val="0"/>
        </w:rPr>
      </w:pPr>
      <w:r>
        <w:rPr>
          <w:rFonts w:hint="eastAsia" w:ascii="宋体" w:hAnsi="宋体" w:cs="宋体"/>
          <w:kern w:val="0"/>
        </w:rPr>
        <w:t>4.2.3除投标人须知前附表另有规定外，投标人所递交的投标文件不予退还。</w:t>
      </w:r>
    </w:p>
    <w:p>
      <w:pPr>
        <w:snapToGrid w:val="0"/>
        <w:spacing w:line="360" w:lineRule="auto"/>
        <w:rPr>
          <w:rFonts w:ascii="宋体" w:hAnsi="宋体" w:cs="宋体"/>
          <w:kern w:val="0"/>
        </w:rPr>
      </w:pPr>
      <w:r>
        <w:rPr>
          <w:rFonts w:hint="eastAsia" w:ascii="宋体" w:hAnsi="宋体" w:cs="宋体"/>
          <w:kern w:val="0"/>
        </w:rPr>
        <w:t>4.2.4招标人收到投标文件后，向投标人出具签收凭证。</w:t>
      </w:r>
    </w:p>
    <w:p>
      <w:pPr>
        <w:snapToGrid w:val="0"/>
        <w:spacing w:line="360" w:lineRule="auto"/>
        <w:rPr>
          <w:rFonts w:ascii="宋体" w:hAnsi="宋体" w:cs="宋体"/>
          <w:kern w:val="0"/>
        </w:rPr>
      </w:pPr>
      <w:r>
        <w:rPr>
          <w:rFonts w:hint="eastAsia" w:ascii="宋体" w:hAnsi="宋体" w:cs="宋体"/>
          <w:kern w:val="0"/>
        </w:rPr>
        <w:t>4.2.5逾期送达的投标文件，招标人将予以拒收。</w:t>
      </w:r>
    </w:p>
    <w:p>
      <w:pPr>
        <w:snapToGrid w:val="0"/>
        <w:spacing w:line="360" w:lineRule="auto"/>
        <w:rPr>
          <w:rFonts w:ascii="宋体" w:hAnsi="宋体" w:cs="宋体"/>
          <w:kern w:val="0"/>
        </w:rPr>
      </w:pPr>
      <w:bookmarkStart w:id="66" w:name="_Toc10255"/>
      <w:bookmarkStart w:id="67" w:name="_Toc27382"/>
      <w:r>
        <w:rPr>
          <w:rFonts w:hint="eastAsia" w:ascii="宋体" w:hAnsi="宋体" w:cs="宋体"/>
          <w:kern w:val="0"/>
        </w:rPr>
        <w:t>4.3投标文件的修改与撤回</w:t>
      </w:r>
      <w:bookmarkEnd w:id="66"/>
      <w:bookmarkEnd w:id="67"/>
    </w:p>
    <w:p>
      <w:pPr>
        <w:snapToGrid w:val="0"/>
        <w:spacing w:line="360" w:lineRule="auto"/>
        <w:rPr>
          <w:rFonts w:ascii="宋体" w:hAnsi="宋体" w:cs="宋体"/>
          <w:kern w:val="0"/>
        </w:rPr>
      </w:pPr>
      <w:r>
        <w:rPr>
          <w:rFonts w:hint="eastAsia" w:ascii="宋体" w:hAnsi="宋体" w:cs="宋体"/>
          <w:kern w:val="0"/>
        </w:rPr>
        <w:t>4.3.1在本章第4.2.1项规定的投标截止时间前，投标人可以修改或撤回已递交的投标文件，但应以书面形式通知招标人。</w:t>
      </w:r>
    </w:p>
    <w:p>
      <w:pPr>
        <w:snapToGrid w:val="0"/>
        <w:spacing w:line="360" w:lineRule="auto"/>
        <w:rPr>
          <w:rFonts w:ascii="宋体" w:hAnsi="宋体" w:cs="宋体"/>
          <w:kern w:val="0"/>
        </w:rPr>
      </w:pPr>
      <w:r>
        <w:rPr>
          <w:rFonts w:hint="eastAsia" w:ascii="宋体" w:hAnsi="宋体" w:cs="宋体"/>
          <w:kern w:val="0"/>
        </w:rPr>
        <w:t>4.3.2投标人修改或撤回已递交投标文件的书面通知应按照本章第 3.7.3项的要求签字或盖章。招标人收到书面通知后，向投标人出具签收凭证。</w:t>
      </w:r>
    </w:p>
    <w:p>
      <w:pPr>
        <w:snapToGrid w:val="0"/>
        <w:spacing w:line="360" w:lineRule="auto"/>
        <w:rPr>
          <w:rFonts w:ascii="宋体" w:hAnsi="宋体" w:cs="宋体"/>
          <w:kern w:val="0"/>
        </w:rPr>
      </w:pPr>
      <w:r>
        <w:rPr>
          <w:rFonts w:hint="eastAsia" w:ascii="宋体" w:hAnsi="宋体" w:cs="宋体"/>
          <w:kern w:val="0"/>
        </w:rPr>
        <w:t>4.3.3修改的内容为投标文件的组成部分。修改的投标文件应按照招标文件的规定进行编制、密封、标记和递交，并标明“修改”字样。</w:t>
      </w:r>
    </w:p>
    <w:p>
      <w:pPr>
        <w:pStyle w:val="5"/>
        <w:snapToGrid w:val="0"/>
        <w:spacing w:before="0" w:after="0" w:line="360" w:lineRule="auto"/>
        <w:rPr>
          <w:rFonts w:ascii="宋体" w:hAnsi="宋体" w:cs="宋体"/>
        </w:rPr>
      </w:pPr>
      <w:bookmarkStart w:id="68" w:name="_Toc5124"/>
      <w:bookmarkStart w:id="69" w:name="_Toc8343"/>
      <w:bookmarkStart w:id="70" w:name="_Toc20106"/>
      <w:bookmarkStart w:id="71" w:name="_Toc22850"/>
      <w:bookmarkStart w:id="72" w:name="_Toc27838"/>
      <w:bookmarkStart w:id="73" w:name="_Toc13413"/>
      <w:bookmarkStart w:id="74" w:name="_Toc40699924"/>
      <w:r>
        <w:rPr>
          <w:rFonts w:hint="eastAsia" w:ascii="宋体" w:hAnsi="宋体" w:cs="宋体"/>
        </w:rPr>
        <w:t>5.开标</w:t>
      </w:r>
      <w:bookmarkEnd w:id="68"/>
      <w:bookmarkEnd w:id="69"/>
      <w:bookmarkEnd w:id="70"/>
      <w:bookmarkEnd w:id="71"/>
      <w:bookmarkEnd w:id="72"/>
      <w:bookmarkEnd w:id="73"/>
      <w:bookmarkEnd w:id="74"/>
    </w:p>
    <w:p>
      <w:pPr>
        <w:snapToGrid w:val="0"/>
        <w:spacing w:line="360" w:lineRule="auto"/>
        <w:rPr>
          <w:rFonts w:ascii="宋体" w:hAnsi="宋体" w:cs="宋体"/>
          <w:kern w:val="0"/>
        </w:rPr>
      </w:pPr>
      <w:bookmarkStart w:id="75" w:name="_Toc5479"/>
      <w:bookmarkStart w:id="76" w:name="_Toc14232"/>
      <w:r>
        <w:rPr>
          <w:rFonts w:hint="eastAsia" w:ascii="宋体" w:hAnsi="宋体" w:cs="宋体"/>
          <w:kern w:val="0"/>
        </w:rPr>
        <w:t>5.1开标时间和地点</w:t>
      </w:r>
      <w:bookmarkEnd w:id="75"/>
      <w:bookmarkEnd w:id="76"/>
    </w:p>
    <w:p>
      <w:pPr>
        <w:snapToGrid w:val="0"/>
        <w:spacing w:line="360" w:lineRule="auto"/>
        <w:ind w:firstLine="420" w:firstLineChars="200"/>
        <w:rPr>
          <w:rFonts w:ascii="宋体" w:hAnsi="宋体" w:cs="宋体"/>
          <w:kern w:val="0"/>
        </w:rPr>
      </w:pPr>
      <w:r>
        <w:rPr>
          <w:rFonts w:hint="eastAsia" w:ascii="宋体" w:hAnsi="宋体" w:cs="宋体"/>
          <w:kern w:val="0"/>
        </w:rPr>
        <w:t>招标人在招标文件规定的投标截止时间（开标时间）、地点公开开标，并邀请所有投标人的法定代表人（单位负责人）或其委托代理人准时参加。</w:t>
      </w:r>
    </w:p>
    <w:p>
      <w:pPr>
        <w:snapToGrid w:val="0"/>
        <w:spacing w:line="360" w:lineRule="auto"/>
        <w:ind w:firstLine="420" w:firstLineChars="200"/>
      </w:pPr>
      <w:r>
        <w:rPr>
          <w:rFonts w:hint="eastAsia" w:ascii="宋体" w:hAnsi="宋体" w:cs="宋体"/>
          <w:kern w:val="0"/>
        </w:rPr>
        <w:t>开标会由招标人或招标代理机构主持，邀请所有投标人参加，</w:t>
      </w:r>
      <w:r>
        <w:rPr>
          <w:rFonts w:hint="eastAsia" w:ascii="宋体" w:hAnsi="宋体" w:cs="宋体"/>
          <w:b/>
          <w:bCs/>
          <w:kern w:val="0"/>
        </w:rPr>
        <w:t>投标人法定代表人或投标授权委托人须携带身份证件进行现场验证。</w:t>
      </w:r>
      <w:r>
        <w:rPr>
          <w:rFonts w:hint="eastAsia" w:ascii="宋体" w:hAnsi="宋体" w:cs="宋体"/>
          <w:kern w:val="0"/>
        </w:rPr>
        <w:t>在评标期间，投标人应主动远离评标场所，投标人对招标单位和评标委员会成员施加影响的任何行为，都将导致取消其中标资格，并承担相应法律责任。</w:t>
      </w:r>
    </w:p>
    <w:p>
      <w:pPr>
        <w:snapToGrid w:val="0"/>
        <w:spacing w:line="360" w:lineRule="auto"/>
        <w:rPr>
          <w:rFonts w:ascii="宋体" w:hAnsi="宋体" w:cs="宋体"/>
          <w:kern w:val="0"/>
        </w:rPr>
      </w:pPr>
      <w:bookmarkStart w:id="77" w:name="_Toc23539"/>
      <w:bookmarkStart w:id="78" w:name="_Toc5428"/>
      <w:r>
        <w:rPr>
          <w:rFonts w:hint="eastAsia" w:ascii="宋体" w:hAnsi="宋体" w:cs="宋体"/>
          <w:kern w:val="0"/>
        </w:rPr>
        <w:t>5.2开标程序</w:t>
      </w:r>
      <w:bookmarkEnd w:id="77"/>
      <w:bookmarkEnd w:id="78"/>
    </w:p>
    <w:p>
      <w:pPr>
        <w:snapToGrid w:val="0"/>
        <w:spacing w:line="360" w:lineRule="auto"/>
        <w:rPr>
          <w:rFonts w:ascii="宋体" w:hAnsi="宋体" w:cs="宋体"/>
          <w:kern w:val="0"/>
        </w:rPr>
      </w:pPr>
      <w:r>
        <w:rPr>
          <w:rFonts w:hint="eastAsia" w:ascii="宋体" w:hAnsi="宋体" w:cs="宋体"/>
          <w:kern w:val="0"/>
        </w:rPr>
        <w:t>主持人按下列程序进行开标：</w:t>
      </w:r>
    </w:p>
    <w:p>
      <w:pPr>
        <w:snapToGrid w:val="0"/>
        <w:spacing w:line="360" w:lineRule="auto"/>
        <w:rPr>
          <w:rFonts w:ascii="宋体" w:hAnsi="宋体" w:cs="宋体"/>
          <w:kern w:val="0"/>
        </w:rPr>
      </w:pPr>
      <w:r>
        <w:rPr>
          <w:rFonts w:hint="eastAsia" w:ascii="宋体" w:hAnsi="宋体" w:cs="宋体"/>
          <w:kern w:val="0"/>
        </w:rPr>
        <w:t>（1）宣布开标纪律；</w:t>
      </w:r>
    </w:p>
    <w:p>
      <w:pPr>
        <w:snapToGrid w:val="0"/>
        <w:spacing w:line="360" w:lineRule="auto"/>
        <w:rPr>
          <w:rFonts w:ascii="宋体" w:hAnsi="宋体" w:cs="宋体"/>
          <w:kern w:val="0"/>
        </w:rPr>
      </w:pPr>
      <w:r>
        <w:rPr>
          <w:rFonts w:hint="eastAsia" w:ascii="宋体" w:hAnsi="宋体" w:cs="宋体"/>
          <w:kern w:val="0"/>
        </w:rPr>
        <w:t>（2）公布在投标截止时间前递交投标文件的投标人名称；</w:t>
      </w:r>
    </w:p>
    <w:p>
      <w:pPr>
        <w:snapToGrid w:val="0"/>
        <w:spacing w:line="360" w:lineRule="auto"/>
        <w:rPr>
          <w:rFonts w:ascii="宋体" w:hAnsi="宋体" w:cs="宋体"/>
          <w:kern w:val="0"/>
        </w:rPr>
      </w:pPr>
      <w:r>
        <w:rPr>
          <w:rFonts w:hint="eastAsia" w:ascii="宋体" w:hAnsi="宋体" w:cs="宋体"/>
          <w:kern w:val="0"/>
        </w:rPr>
        <w:t>（3）宣布开标人、唱标人、记录人、监标人等有关人员姓名；</w:t>
      </w:r>
    </w:p>
    <w:p>
      <w:pPr>
        <w:snapToGrid w:val="0"/>
        <w:spacing w:line="360" w:lineRule="auto"/>
        <w:rPr>
          <w:rFonts w:ascii="宋体" w:hAnsi="宋体" w:cs="宋体"/>
          <w:kern w:val="0"/>
        </w:rPr>
      </w:pPr>
      <w:r>
        <w:rPr>
          <w:rFonts w:hint="eastAsia" w:ascii="宋体" w:hAnsi="宋体" w:cs="宋体"/>
          <w:kern w:val="0"/>
        </w:rPr>
        <w:t>（4）检查投标人代表出席情况；</w:t>
      </w:r>
    </w:p>
    <w:p>
      <w:pPr>
        <w:snapToGrid w:val="0"/>
        <w:spacing w:line="360" w:lineRule="auto"/>
        <w:rPr>
          <w:rFonts w:ascii="宋体" w:hAnsi="宋体" w:cs="宋体"/>
          <w:kern w:val="0"/>
        </w:rPr>
      </w:pPr>
      <w:r>
        <w:rPr>
          <w:rFonts w:hint="eastAsia" w:ascii="宋体" w:hAnsi="宋体" w:cs="宋体"/>
          <w:kern w:val="0"/>
        </w:rPr>
        <w:t>（5）检查投标文件的密封情况，按照投标人须知前附表规定的开标顺序当众开标，公布招标项目名称、投标人名称、投标报价、交货期等内容，并记录在案；</w:t>
      </w:r>
    </w:p>
    <w:p>
      <w:pPr>
        <w:snapToGrid w:val="0"/>
        <w:spacing w:line="360" w:lineRule="auto"/>
        <w:rPr>
          <w:rFonts w:ascii="宋体" w:hAnsi="宋体" w:cs="宋体"/>
          <w:kern w:val="0"/>
        </w:rPr>
      </w:pPr>
      <w:r>
        <w:rPr>
          <w:rFonts w:hint="eastAsia" w:ascii="宋体" w:hAnsi="宋体" w:cs="宋体"/>
          <w:kern w:val="0"/>
        </w:rPr>
        <w:t>（6）投标人代表、招标人代表、监标人、记录人等有关人员在开标记录上签字确认；</w:t>
      </w:r>
    </w:p>
    <w:p>
      <w:pPr>
        <w:snapToGrid w:val="0"/>
        <w:spacing w:line="360" w:lineRule="auto"/>
        <w:rPr>
          <w:rFonts w:ascii="宋体" w:hAnsi="宋体" w:cs="宋体"/>
          <w:kern w:val="0"/>
        </w:rPr>
      </w:pPr>
      <w:r>
        <w:rPr>
          <w:rFonts w:hint="eastAsia" w:ascii="宋体" w:hAnsi="宋体" w:cs="宋体"/>
          <w:kern w:val="0"/>
        </w:rPr>
        <w:t>（7）开标结束。</w:t>
      </w:r>
    </w:p>
    <w:p>
      <w:pPr>
        <w:snapToGrid w:val="0"/>
        <w:spacing w:line="360" w:lineRule="auto"/>
        <w:rPr>
          <w:rFonts w:ascii="宋体" w:hAnsi="宋体" w:cs="宋体"/>
          <w:kern w:val="0"/>
        </w:rPr>
      </w:pPr>
      <w:bookmarkStart w:id="79" w:name="_Toc12620"/>
      <w:bookmarkStart w:id="80" w:name="_Toc23818"/>
      <w:r>
        <w:rPr>
          <w:rFonts w:hint="eastAsia" w:ascii="宋体" w:hAnsi="宋体" w:cs="宋体"/>
          <w:kern w:val="0"/>
        </w:rPr>
        <w:t>5.3开标异议</w:t>
      </w:r>
      <w:bookmarkEnd w:id="79"/>
      <w:bookmarkEnd w:id="80"/>
    </w:p>
    <w:p>
      <w:pPr>
        <w:snapToGrid w:val="0"/>
        <w:spacing w:line="360" w:lineRule="auto"/>
        <w:rPr>
          <w:rFonts w:ascii="宋体" w:hAnsi="宋体" w:cs="宋体"/>
          <w:kern w:val="0"/>
        </w:rPr>
      </w:pPr>
      <w:r>
        <w:rPr>
          <w:rFonts w:hint="eastAsia" w:ascii="宋体" w:hAnsi="宋体" w:cs="宋体"/>
          <w:kern w:val="0"/>
        </w:rPr>
        <w:t>投标人对开标有异议的，应当在开标现场提出，招标人当场作出答复，并制作记录。</w:t>
      </w:r>
    </w:p>
    <w:p>
      <w:pPr>
        <w:pStyle w:val="5"/>
        <w:snapToGrid w:val="0"/>
        <w:spacing w:before="0" w:after="0" w:line="360" w:lineRule="auto"/>
        <w:rPr>
          <w:rFonts w:ascii="宋体" w:hAnsi="宋体" w:cs="宋体"/>
        </w:rPr>
      </w:pPr>
      <w:bookmarkStart w:id="81" w:name="_Toc20036"/>
      <w:bookmarkStart w:id="82" w:name="_Toc40699925"/>
      <w:bookmarkStart w:id="83" w:name="_Toc16597"/>
      <w:bookmarkStart w:id="84" w:name="_Toc8833"/>
      <w:bookmarkStart w:id="85" w:name="_Toc22609"/>
      <w:bookmarkStart w:id="86" w:name="_Toc15211"/>
      <w:bookmarkStart w:id="87" w:name="_Toc23290"/>
      <w:r>
        <w:rPr>
          <w:rFonts w:hint="eastAsia" w:ascii="宋体" w:hAnsi="宋体" w:cs="宋体"/>
        </w:rPr>
        <w:t>6.评标</w:t>
      </w:r>
      <w:bookmarkEnd w:id="81"/>
      <w:bookmarkEnd w:id="82"/>
      <w:bookmarkEnd w:id="83"/>
      <w:bookmarkEnd w:id="84"/>
      <w:bookmarkEnd w:id="85"/>
      <w:bookmarkEnd w:id="86"/>
      <w:bookmarkEnd w:id="87"/>
    </w:p>
    <w:p>
      <w:pPr>
        <w:snapToGrid w:val="0"/>
        <w:spacing w:line="360" w:lineRule="auto"/>
        <w:rPr>
          <w:rFonts w:ascii="宋体" w:hAnsi="宋体" w:cs="宋体"/>
          <w:kern w:val="0"/>
        </w:rPr>
      </w:pPr>
      <w:bookmarkStart w:id="88" w:name="_Toc19955"/>
      <w:bookmarkStart w:id="89" w:name="_Toc25377"/>
      <w:r>
        <w:rPr>
          <w:rFonts w:hint="eastAsia" w:ascii="宋体" w:hAnsi="宋体" w:cs="宋体"/>
          <w:kern w:val="0"/>
        </w:rPr>
        <w:t>6.1评标委员会</w:t>
      </w:r>
      <w:bookmarkEnd w:id="88"/>
      <w:bookmarkEnd w:id="89"/>
    </w:p>
    <w:p>
      <w:pPr>
        <w:snapToGrid w:val="0"/>
        <w:spacing w:line="360" w:lineRule="auto"/>
        <w:rPr>
          <w:rFonts w:ascii="宋体" w:hAnsi="宋体" w:cs="宋体"/>
          <w:kern w:val="0"/>
        </w:rPr>
      </w:pPr>
      <w:r>
        <w:rPr>
          <w:rFonts w:hint="eastAsia" w:ascii="宋体" w:hAnsi="宋体" w:cs="宋体"/>
          <w:kern w:val="0"/>
        </w:rPr>
        <w:t>6.1.1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snapToGrid w:val="0"/>
        <w:spacing w:line="360" w:lineRule="auto"/>
        <w:rPr>
          <w:rFonts w:ascii="宋体" w:hAnsi="宋体" w:cs="宋体"/>
          <w:kern w:val="0"/>
        </w:rPr>
      </w:pPr>
      <w:r>
        <w:rPr>
          <w:rFonts w:hint="eastAsia" w:ascii="宋体" w:hAnsi="宋体" w:cs="宋体"/>
          <w:kern w:val="0"/>
        </w:rPr>
        <w:t>6.1.2评标委员会成员有下列情形之一的，应当回避：</w:t>
      </w:r>
    </w:p>
    <w:p>
      <w:pPr>
        <w:snapToGrid w:val="0"/>
        <w:spacing w:line="360" w:lineRule="auto"/>
        <w:rPr>
          <w:rFonts w:ascii="宋体" w:hAnsi="宋体" w:cs="宋体"/>
          <w:kern w:val="0"/>
        </w:rPr>
      </w:pPr>
      <w:r>
        <w:rPr>
          <w:rFonts w:hint="eastAsia" w:ascii="宋体" w:hAnsi="宋体" w:cs="宋体"/>
          <w:kern w:val="0"/>
        </w:rPr>
        <w:t>（1）投标人或投标人主要负责人的近亲属；</w:t>
      </w:r>
    </w:p>
    <w:p>
      <w:pPr>
        <w:snapToGrid w:val="0"/>
        <w:spacing w:line="360" w:lineRule="auto"/>
        <w:rPr>
          <w:rFonts w:ascii="宋体" w:hAnsi="宋体" w:cs="宋体"/>
          <w:kern w:val="0"/>
        </w:rPr>
      </w:pPr>
      <w:r>
        <w:rPr>
          <w:rFonts w:hint="eastAsia" w:ascii="宋体" w:hAnsi="宋体" w:cs="宋体"/>
          <w:kern w:val="0"/>
        </w:rPr>
        <w:t>（2）项目主管部门或者行政监督部门的人员；</w:t>
      </w:r>
    </w:p>
    <w:p>
      <w:pPr>
        <w:snapToGrid w:val="0"/>
        <w:spacing w:line="360" w:lineRule="auto"/>
        <w:rPr>
          <w:rFonts w:ascii="宋体" w:hAnsi="宋体" w:cs="宋体"/>
          <w:kern w:val="0"/>
        </w:rPr>
      </w:pPr>
      <w:r>
        <w:rPr>
          <w:rFonts w:hint="eastAsia" w:ascii="宋体" w:hAnsi="宋体" w:cs="宋体"/>
          <w:kern w:val="0"/>
        </w:rPr>
        <w:t>（3）与投标人有经济利益关系，可能影响对投标公正评审的；</w:t>
      </w:r>
    </w:p>
    <w:p>
      <w:pPr>
        <w:snapToGrid w:val="0"/>
        <w:spacing w:line="360" w:lineRule="auto"/>
        <w:rPr>
          <w:rFonts w:ascii="宋体" w:hAnsi="宋体" w:cs="宋体"/>
          <w:kern w:val="0"/>
        </w:rPr>
      </w:pPr>
      <w:r>
        <w:rPr>
          <w:rFonts w:hint="eastAsia" w:ascii="宋体" w:hAnsi="宋体" w:cs="宋体"/>
          <w:kern w:val="0"/>
        </w:rPr>
        <w:t>（4）曾因在招标、评标以及其他与招标投标有关活动中从事违法行为而受过行政处罚或刑事处罚的；</w:t>
      </w:r>
    </w:p>
    <w:p>
      <w:pPr>
        <w:snapToGrid w:val="0"/>
        <w:spacing w:line="360" w:lineRule="auto"/>
        <w:rPr>
          <w:rFonts w:ascii="宋体" w:hAnsi="宋体" w:cs="宋体"/>
          <w:kern w:val="0"/>
        </w:rPr>
      </w:pPr>
      <w:r>
        <w:rPr>
          <w:rFonts w:hint="eastAsia" w:ascii="宋体" w:hAnsi="宋体" w:cs="宋体"/>
          <w:kern w:val="0"/>
        </w:rPr>
        <w:t>（5）与投标人有其他利害关系。</w:t>
      </w:r>
    </w:p>
    <w:p>
      <w:pPr>
        <w:snapToGrid w:val="0"/>
        <w:spacing w:line="360" w:lineRule="auto"/>
        <w:rPr>
          <w:rFonts w:ascii="宋体" w:hAnsi="宋体" w:cs="宋体"/>
          <w:kern w:val="0"/>
        </w:rPr>
      </w:pPr>
      <w:r>
        <w:rPr>
          <w:rFonts w:hint="eastAsia" w:ascii="宋体" w:hAnsi="宋体" w:cs="宋体"/>
          <w:kern w:val="0"/>
        </w:rPr>
        <w:t>6.1.3评标过程中，评标委员会成员有回避事由、擅离职守或者因健康等原因不能继续评标的，招标人有权更换。被更换的评标委员会成员作出的评审结论无效，由更换后的评标委员会成员重新进行评审。</w:t>
      </w:r>
    </w:p>
    <w:p>
      <w:pPr>
        <w:snapToGrid w:val="0"/>
        <w:spacing w:line="360" w:lineRule="auto"/>
        <w:rPr>
          <w:rFonts w:ascii="宋体" w:hAnsi="宋体" w:cs="宋体"/>
          <w:kern w:val="0"/>
        </w:rPr>
      </w:pPr>
      <w:bookmarkStart w:id="90" w:name="_Toc30310"/>
      <w:bookmarkStart w:id="91" w:name="_Toc7533"/>
      <w:r>
        <w:rPr>
          <w:rFonts w:hint="eastAsia" w:ascii="宋体" w:hAnsi="宋体" w:cs="宋体"/>
          <w:kern w:val="0"/>
        </w:rPr>
        <w:t>6.2评标原则</w:t>
      </w:r>
      <w:bookmarkEnd w:id="90"/>
      <w:bookmarkEnd w:id="91"/>
    </w:p>
    <w:p>
      <w:pPr>
        <w:snapToGrid w:val="0"/>
        <w:spacing w:line="360" w:lineRule="auto"/>
      </w:pPr>
      <w:r>
        <w:rPr>
          <w:rFonts w:hint="eastAsia" w:ascii="宋体" w:hAnsi="宋体" w:cs="宋体"/>
          <w:kern w:val="0"/>
        </w:rPr>
        <w:t>评标活动遵循公平、公正、科学和择优的原则。</w:t>
      </w:r>
    </w:p>
    <w:p>
      <w:pPr>
        <w:snapToGrid w:val="0"/>
        <w:spacing w:line="360" w:lineRule="auto"/>
        <w:rPr>
          <w:rFonts w:ascii="宋体" w:hAnsi="宋体" w:cs="宋体"/>
          <w:kern w:val="0"/>
        </w:rPr>
      </w:pPr>
      <w:bookmarkStart w:id="92" w:name="_Toc25757"/>
      <w:bookmarkStart w:id="93" w:name="_Toc3196"/>
      <w:r>
        <w:rPr>
          <w:rFonts w:hint="eastAsia" w:ascii="宋体" w:hAnsi="宋体" w:cs="宋体"/>
          <w:kern w:val="0"/>
        </w:rPr>
        <w:t>6.3评标</w:t>
      </w:r>
      <w:bookmarkEnd w:id="92"/>
      <w:bookmarkEnd w:id="93"/>
    </w:p>
    <w:p>
      <w:pPr>
        <w:snapToGrid w:val="0"/>
        <w:spacing w:line="360" w:lineRule="auto"/>
        <w:rPr>
          <w:rFonts w:ascii="宋体" w:hAnsi="宋体" w:cs="宋体"/>
          <w:kern w:val="0"/>
        </w:rPr>
      </w:pPr>
      <w:r>
        <w:rPr>
          <w:rFonts w:hint="eastAsia" w:ascii="宋体" w:hAnsi="宋体" w:cs="宋体"/>
          <w:kern w:val="0"/>
        </w:rPr>
        <w:t>6.3.1评标委员会按照第二章“评标办法”规定的方法、评审因素、标准和程序对投标文件进行评审。第二章“评标办法”没有规定的方法、评审因素和标准，不作为评标依据。</w:t>
      </w:r>
    </w:p>
    <w:p>
      <w:pPr>
        <w:snapToGrid w:val="0"/>
        <w:spacing w:line="360" w:lineRule="auto"/>
        <w:rPr>
          <w:rFonts w:ascii="宋体" w:hAnsi="宋体" w:cs="宋体"/>
          <w:kern w:val="0"/>
        </w:rPr>
      </w:pPr>
      <w:r>
        <w:rPr>
          <w:rFonts w:hint="eastAsia" w:ascii="宋体" w:hAnsi="宋体" w:cs="宋体"/>
          <w:kern w:val="0"/>
        </w:rPr>
        <w:t>6.3.2评标完成后，评标委员会应当向招标人提交书面评标报告和中标候选人名单。评标委员会推荐中标候选人的人数见投标人须知前附表。</w:t>
      </w:r>
    </w:p>
    <w:p>
      <w:pPr>
        <w:snapToGrid w:val="0"/>
        <w:spacing w:line="360" w:lineRule="auto"/>
        <w:ind w:firstLine="422"/>
        <w:rPr>
          <w:rFonts w:ascii="宋体" w:hAnsi="宋体" w:cs="宋体"/>
          <w:b/>
          <w:bCs/>
          <w:szCs w:val="21"/>
          <w:highlight w:val="white"/>
        </w:rPr>
      </w:pPr>
      <w:r>
        <w:rPr>
          <w:rFonts w:hint="eastAsia" w:ascii="宋体" w:hAnsi="宋体" w:cs="宋体"/>
          <w:b/>
          <w:bCs/>
          <w:kern w:val="0"/>
          <w:szCs w:val="21"/>
        </w:rPr>
        <w:t>6.3.3</w:t>
      </w:r>
      <w:r>
        <w:rPr>
          <w:rFonts w:hint="eastAsia" w:ascii="宋体" w:hAnsi="宋体" w:cs="宋体"/>
          <w:b/>
          <w:bCs/>
          <w:szCs w:val="21"/>
          <w:highlight w:val="white"/>
        </w:rPr>
        <w:t>无效标、废标、串通投标认定条款</w:t>
      </w:r>
    </w:p>
    <w:p>
      <w:pPr>
        <w:spacing w:line="360" w:lineRule="auto"/>
        <w:ind w:firstLine="422"/>
        <w:rPr>
          <w:rFonts w:ascii="宋体" w:hAnsi="宋体" w:cs="宋体"/>
          <w:b/>
          <w:szCs w:val="21"/>
        </w:rPr>
      </w:pPr>
      <w:r>
        <w:rPr>
          <w:rFonts w:hint="eastAsia" w:ascii="宋体" w:hAnsi="宋体" w:cs="宋体"/>
          <w:b/>
          <w:szCs w:val="21"/>
          <w:highlight w:val="white"/>
        </w:rPr>
        <w:t>6.3.3.1无效投标条款</w:t>
      </w:r>
    </w:p>
    <w:p>
      <w:pPr>
        <w:numPr>
          <w:ilvl w:val="0"/>
          <w:numId w:val="8"/>
        </w:numPr>
        <w:spacing w:line="360" w:lineRule="auto"/>
        <w:rPr>
          <w:rFonts w:ascii="宋体" w:hAnsi="宋体" w:cs="宋体"/>
          <w:szCs w:val="21"/>
          <w:highlight w:val="white"/>
        </w:rPr>
      </w:pPr>
      <w:r>
        <w:rPr>
          <w:rFonts w:hint="eastAsia" w:ascii="宋体" w:hAnsi="宋体" w:cs="宋体"/>
          <w:szCs w:val="21"/>
          <w:highlight w:val="white"/>
        </w:rPr>
        <w:t>投标人不符合招标文件规定资格要求的或未按规定提交资质证件的；</w:t>
      </w:r>
    </w:p>
    <w:p>
      <w:pPr>
        <w:numPr>
          <w:ilvl w:val="0"/>
          <w:numId w:val="8"/>
        </w:numPr>
        <w:spacing w:line="360" w:lineRule="auto"/>
        <w:rPr>
          <w:rFonts w:ascii="宋体" w:hAnsi="宋体" w:cs="宋体"/>
          <w:szCs w:val="21"/>
        </w:rPr>
      </w:pPr>
      <w:r>
        <w:rPr>
          <w:rFonts w:hint="eastAsia" w:ascii="宋体" w:hAnsi="宋体" w:cs="宋体"/>
          <w:szCs w:val="21"/>
          <w:highlight w:val="white"/>
        </w:rPr>
        <w:t>投标人在规定的时间未按要求提交投标保证金的；</w:t>
      </w:r>
    </w:p>
    <w:p>
      <w:pPr>
        <w:numPr>
          <w:ilvl w:val="0"/>
          <w:numId w:val="8"/>
        </w:numPr>
        <w:spacing w:line="360" w:lineRule="auto"/>
        <w:rPr>
          <w:rFonts w:ascii="宋体" w:hAnsi="宋体" w:cs="宋体"/>
          <w:szCs w:val="21"/>
        </w:rPr>
      </w:pPr>
      <w:r>
        <w:rPr>
          <w:rFonts w:hint="eastAsia" w:ascii="宋体" w:hAnsi="宋体" w:cs="宋体"/>
          <w:szCs w:val="21"/>
          <w:highlight w:val="white"/>
        </w:rPr>
        <w:t>投标文件签署、盖章不符合招标文件要求的；投标文件中的投标函未加盖投标人的印章及法定代表人签章的；或者在投标截止时间前未提供合法、有效的法定代表人法人资格证明及其居民身份证或其授权委托代理人的法人授权委托书及其居民身份证的；</w:t>
      </w:r>
    </w:p>
    <w:p>
      <w:pPr>
        <w:numPr>
          <w:ilvl w:val="0"/>
          <w:numId w:val="8"/>
        </w:numPr>
        <w:spacing w:line="360" w:lineRule="auto"/>
        <w:rPr>
          <w:rFonts w:ascii="宋体" w:hAnsi="宋体" w:cs="宋体"/>
          <w:szCs w:val="21"/>
        </w:rPr>
      </w:pPr>
      <w:r>
        <w:rPr>
          <w:rFonts w:hint="eastAsia" w:ascii="宋体" w:hAnsi="宋体" w:cs="宋体"/>
          <w:szCs w:val="21"/>
          <w:highlight w:val="white"/>
        </w:rPr>
        <w:t>未按招标文件要求提供投标文件，或者投标文件未能解密且按照招标文件明确的投标文件解密失败的补救方案补救不成功的；</w:t>
      </w:r>
    </w:p>
    <w:p>
      <w:pPr>
        <w:numPr>
          <w:ilvl w:val="0"/>
          <w:numId w:val="8"/>
        </w:numPr>
        <w:spacing w:line="360" w:lineRule="auto"/>
        <w:rPr>
          <w:rFonts w:ascii="宋体" w:hAnsi="宋体" w:cs="宋体"/>
          <w:szCs w:val="21"/>
        </w:rPr>
      </w:pPr>
      <w:r>
        <w:rPr>
          <w:rFonts w:hint="eastAsia" w:ascii="宋体" w:hAnsi="宋体" w:cs="宋体"/>
          <w:szCs w:val="21"/>
          <w:highlight w:val="white"/>
        </w:rPr>
        <w:t>投标文件出现重大偏差，未对招标文件进行实质性响应的；</w:t>
      </w:r>
    </w:p>
    <w:p>
      <w:pPr>
        <w:numPr>
          <w:ilvl w:val="0"/>
          <w:numId w:val="8"/>
        </w:numPr>
        <w:spacing w:line="360" w:lineRule="auto"/>
        <w:rPr>
          <w:rFonts w:ascii="宋体" w:hAnsi="宋体" w:cs="宋体"/>
          <w:szCs w:val="21"/>
        </w:rPr>
      </w:pPr>
      <w:r>
        <w:rPr>
          <w:rFonts w:hint="eastAsia" w:ascii="宋体" w:hAnsi="宋体" w:cs="宋体"/>
          <w:szCs w:val="21"/>
          <w:highlight w:val="white"/>
        </w:rPr>
        <w:t>投标人有本招标文件规定的恶意串通投标情形的；</w:t>
      </w:r>
    </w:p>
    <w:p>
      <w:pPr>
        <w:numPr>
          <w:ilvl w:val="0"/>
          <w:numId w:val="8"/>
        </w:numPr>
        <w:spacing w:line="360" w:lineRule="auto"/>
        <w:rPr>
          <w:rFonts w:ascii="宋体" w:hAnsi="宋体" w:cs="宋体"/>
          <w:szCs w:val="21"/>
        </w:rPr>
      </w:pPr>
      <w:r>
        <w:rPr>
          <w:rFonts w:hint="eastAsia" w:ascii="宋体" w:hAnsi="宋体" w:cs="宋体"/>
          <w:szCs w:val="21"/>
          <w:highlight w:val="white"/>
        </w:rPr>
        <w:t>法人代表（或被授权人）不参加开标会议及质询事宜的；</w:t>
      </w:r>
    </w:p>
    <w:p>
      <w:pPr>
        <w:numPr>
          <w:ilvl w:val="0"/>
          <w:numId w:val="8"/>
        </w:numPr>
        <w:spacing w:line="360" w:lineRule="auto"/>
        <w:rPr>
          <w:rFonts w:ascii="宋体" w:hAnsi="宋体" w:cs="宋体"/>
          <w:szCs w:val="21"/>
        </w:rPr>
      </w:pPr>
      <w:r>
        <w:rPr>
          <w:rFonts w:hint="eastAsia" w:ascii="宋体" w:hAnsi="宋体" w:cs="宋体"/>
          <w:szCs w:val="21"/>
          <w:highlight w:val="white"/>
        </w:rPr>
        <w:t>其它评标委员会认为有必要取消的投标；</w:t>
      </w:r>
    </w:p>
    <w:p>
      <w:pPr>
        <w:numPr>
          <w:ilvl w:val="0"/>
          <w:numId w:val="8"/>
        </w:numPr>
        <w:spacing w:line="360" w:lineRule="auto"/>
        <w:rPr>
          <w:rFonts w:ascii="宋体" w:hAnsi="宋体" w:cs="宋体"/>
          <w:szCs w:val="21"/>
        </w:rPr>
      </w:pPr>
      <w:r>
        <w:rPr>
          <w:rFonts w:hint="eastAsia" w:ascii="宋体" w:hAnsi="宋体" w:cs="宋体"/>
          <w:szCs w:val="21"/>
          <w:highlight w:val="white"/>
        </w:rPr>
        <w:t>法律、法规规定的其它情况。</w:t>
      </w:r>
    </w:p>
    <w:p>
      <w:pPr>
        <w:spacing w:line="360" w:lineRule="auto"/>
        <w:ind w:firstLine="422"/>
        <w:rPr>
          <w:rFonts w:ascii="宋体" w:hAnsi="宋体" w:cs="宋体"/>
          <w:b/>
          <w:szCs w:val="21"/>
        </w:rPr>
      </w:pPr>
      <w:r>
        <w:rPr>
          <w:rFonts w:hint="eastAsia" w:ascii="宋体" w:hAnsi="宋体" w:cs="宋体"/>
          <w:b/>
          <w:szCs w:val="21"/>
          <w:highlight w:val="white"/>
        </w:rPr>
        <w:t>6.3.3.2废标条款</w:t>
      </w:r>
    </w:p>
    <w:p>
      <w:pPr>
        <w:numPr>
          <w:ilvl w:val="0"/>
          <w:numId w:val="9"/>
        </w:numPr>
        <w:snapToGrid w:val="0"/>
        <w:spacing w:line="360" w:lineRule="auto"/>
        <w:rPr>
          <w:rFonts w:ascii="宋体" w:hAnsi="宋体" w:cs="宋体"/>
          <w:szCs w:val="21"/>
          <w:highlight w:val="white"/>
        </w:rPr>
      </w:pPr>
      <w:r>
        <w:rPr>
          <w:rFonts w:hint="eastAsia" w:ascii="宋体" w:hAnsi="宋体" w:cs="宋体"/>
          <w:szCs w:val="21"/>
          <w:highlight w:val="white"/>
        </w:rPr>
        <w:t>符合专业条件的供应商或者对招标文件作实质响应的供应商不足三家的；</w:t>
      </w:r>
    </w:p>
    <w:p>
      <w:pPr>
        <w:numPr>
          <w:ilvl w:val="0"/>
          <w:numId w:val="9"/>
        </w:numPr>
        <w:snapToGrid w:val="0"/>
        <w:spacing w:line="360" w:lineRule="auto"/>
        <w:rPr>
          <w:rFonts w:ascii="宋体" w:hAnsi="宋体" w:cs="宋体"/>
          <w:szCs w:val="21"/>
        </w:rPr>
      </w:pPr>
      <w:r>
        <w:rPr>
          <w:rFonts w:hint="eastAsia" w:ascii="宋体" w:hAnsi="宋体" w:cs="宋体"/>
          <w:szCs w:val="21"/>
          <w:highlight w:val="white"/>
        </w:rPr>
        <w:t>出现影响采购公正的违法、违规行为的；</w:t>
      </w:r>
    </w:p>
    <w:p>
      <w:pPr>
        <w:numPr>
          <w:ilvl w:val="0"/>
          <w:numId w:val="9"/>
        </w:numPr>
        <w:snapToGrid w:val="0"/>
        <w:spacing w:line="360" w:lineRule="auto"/>
        <w:rPr>
          <w:rFonts w:ascii="宋体" w:hAnsi="宋体" w:cs="宋体"/>
          <w:szCs w:val="21"/>
        </w:rPr>
      </w:pPr>
      <w:r>
        <w:rPr>
          <w:rFonts w:hint="eastAsia" w:ascii="宋体" w:hAnsi="宋体" w:cs="宋体"/>
          <w:szCs w:val="21"/>
          <w:highlight w:val="white"/>
        </w:rPr>
        <w:t>投标人的报价均超过了采购预算，且采购人不能支付的；</w:t>
      </w:r>
    </w:p>
    <w:p>
      <w:pPr>
        <w:numPr>
          <w:ilvl w:val="0"/>
          <w:numId w:val="9"/>
        </w:numPr>
        <w:snapToGrid w:val="0"/>
        <w:spacing w:line="360" w:lineRule="auto"/>
        <w:rPr>
          <w:rFonts w:ascii="宋体" w:hAnsi="宋体" w:cs="宋体"/>
          <w:szCs w:val="21"/>
        </w:rPr>
      </w:pPr>
      <w:r>
        <w:rPr>
          <w:rFonts w:hint="eastAsia" w:ascii="宋体" w:hAnsi="宋体" w:cs="宋体"/>
          <w:szCs w:val="21"/>
          <w:highlight w:val="white"/>
        </w:rPr>
        <w:t>因重大变故，采购任务取消的。</w:t>
      </w:r>
    </w:p>
    <w:p>
      <w:pPr>
        <w:spacing w:line="360" w:lineRule="auto"/>
        <w:ind w:firstLine="422"/>
        <w:rPr>
          <w:rFonts w:ascii="宋体" w:hAnsi="宋体" w:cs="宋体"/>
          <w:b/>
          <w:szCs w:val="21"/>
        </w:rPr>
      </w:pPr>
      <w:r>
        <w:rPr>
          <w:rFonts w:hint="eastAsia" w:ascii="宋体" w:hAnsi="宋体" w:cs="宋体"/>
          <w:b/>
          <w:szCs w:val="21"/>
          <w:highlight w:val="white"/>
        </w:rPr>
        <w:t>6.3.3.3取消中标候选人资格条款</w:t>
      </w:r>
    </w:p>
    <w:p>
      <w:pPr>
        <w:numPr>
          <w:ilvl w:val="0"/>
          <w:numId w:val="10"/>
        </w:numPr>
        <w:snapToGrid w:val="0"/>
        <w:spacing w:line="360" w:lineRule="auto"/>
        <w:rPr>
          <w:rFonts w:ascii="宋体" w:hAnsi="宋体" w:cs="宋体"/>
          <w:szCs w:val="21"/>
          <w:highlight w:val="white"/>
        </w:rPr>
      </w:pPr>
      <w:r>
        <w:rPr>
          <w:rFonts w:hint="eastAsia" w:ascii="宋体" w:hAnsi="宋体" w:cs="宋体"/>
          <w:szCs w:val="21"/>
          <w:highlight w:val="white"/>
        </w:rPr>
        <w:t>提供虚假材料谋取中标的；</w:t>
      </w:r>
    </w:p>
    <w:p>
      <w:pPr>
        <w:numPr>
          <w:ilvl w:val="0"/>
          <w:numId w:val="10"/>
        </w:numPr>
        <w:snapToGrid w:val="0"/>
        <w:spacing w:line="360" w:lineRule="auto"/>
        <w:rPr>
          <w:rFonts w:ascii="宋体" w:hAnsi="宋体" w:cs="宋体"/>
          <w:szCs w:val="21"/>
        </w:rPr>
      </w:pPr>
      <w:r>
        <w:rPr>
          <w:rFonts w:hint="eastAsia" w:ascii="宋体" w:hAnsi="宋体" w:cs="宋体"/>
          <w:szCs w:val="21"/>
          <w:highlight w:val="white"/>
        </w:rPr>
        <w:t>采取不正当手段诋毁、排挤其他投标人的；</w:t>
      </w:r>
    </w:p>
    <w:p>
      <w:pPr>
        <w:numPr>
          <w:ilvl w:val="0"/>
          <w:numId w:val="10"/>
        </w:numPr>
        <w:snapToGrid w:val="0"/>
        <w:spacing w:line="360" w:lineRule="auto"/>
        <w:rPr>
          <w:rFonts w:ascii="宋体" w:hAnsi="宋体" w:cs="宋体"/>
          <w:szCs w:val="21"/>
        </w:rPr>
      </w:pPr>
      <w:r>
        <w:rPr>
          <w:rFonts w:hint="eastAsia" w:ascii="宋体" w:hAnsi="宋体" w:cs="宋体"/>
          <w:szCs w:val="21"/>
          <w:highlight w:val="white"/>
        </w:rPr>
        <w:t>与采购人、其他投标人或者采购代理机构恶意串通的；</w:t>
      </w:r>
    </w:p>
    <w:p>
      <w:pPr>
        <w:numPr>
          <w:ilvl w:val="0"/>
          <w:numId w:val="10"/>
        </w:numPr>
        <w:snapToGrid w:val="0"/>
        <w:spacing w:line="360" w:lineRule="auto"/>
        <w:rPr>
          <w:rFonts w:ascii="宋体" w:hAnsi="宋体" w:cs="宋体"/>
          <w:szCs w:val="21"/>
        </w:rPr>
      </w:pPr>
      <w:r>
        <w:rPr>
          <w:rFonts w:hint="eastAsia" w:ascii="宋体" w:hAnsi="宋体" w:cs="宋体"/>
          <w:szCs w:val="21"/>
          <w:highlight w:val="white"/>
        </w:rPr>
        <w:t>向采购人、采购代理机构行贿或者提供其他不正当利益的；</w:t>
      </w:r>
    </w:p>
    <w:p>
      <w:pPr>
        <w:numPr>
          <w:ilvl w:val="0"/>
          <w:numId w:val="10"/>
        </w:numPr>
        <w:snapToGrid w:val="0"/>
        <w:spacing w:line="360" w:lineRule="auto"/>
        <w:rPr>
          <w:rFonts w:ascii="宋体" w:hAnsi="宋体" w:cs="宋体"/>
          <w:szCs w:val="21"/>
        </w:rPr>
      </w:pPr>
      <w:r>
        <w:rPr>
          <w:rFonts w:hint="eastAsia" w:ascii="宋体" w:hAnsi="宋体" w:cs="宋体"/>
          <w:szCs w:val="21"/>
          <w:highlight w:val="white"/>
        </w:rPr>
        <w:t>未在规定时间内与采购人签订采购合同的；</w:t>
      </w:r>
    </w:p>
    <w:p>
      <w:pPr>
        <w:numPr>
          <w:ilvl w:val="0"/>
          <w:numId w:val="10"/>
        </w:numPr>
        <w:snapToGrid w:val="0"/>
        <w:spacing w:line="360" w:lineRule="auto"/>
        <w:rPr>
          <w:rFonts w:ascii="宋体" w:hAnsi="宋体" w:cs="宋体"/>
          <w:szCs w:val="21"/>
        </w:rPr>
      </w:pPr>
      <w:r>
        <w:rPr>
          <w:rFonts w:hint="eastAsia" w:ascii="宋体" w:hAnsi="宋体" w:cs="宋体"/>
          <w:szCs w:val="21"/>
          <w:highlight w:val="white"/>
        </w:rPr>
        <w:t>法律、法规规定的其它情况。</w:t>
      </w:r>
    </w:p>
    <w:p>
      <w:pPr>
        <w:spacing w:line="360" w:lineRule="auto"/>
        <w:ind w:firstLine="422"/>
        <w:rPr>
          <w:rFonts w:ascii="宋体" w:hAnsi="宋体" w:cs="宋体"/>
          <w:b/>
          <w:szCs w:val="21"/>
        </w:rPr>
      </w:pPr>
      <w:r>
        <w:rPr>
          <w:rFonts w:hint="eastAsia" w:ascii="宋体" w:hAnsi="宋体" w:cs="宋体"/>
          <w:b/>
          <w:szCs w:val="21"/>
          <w:highlight w:val="white"/>
        </w:rPr>
        <w:t>6.3.3.4恶意串通投标的情形</w:t>
      </w:r>
    </w:p>
    <w:p>
      <w:pPr>
        <w:snapToGrid w:val="0"/>
        <w:spacing w:line="360" w:lineRule="auto"/>
        <w:rPr>
          <w:rFonts w:ascii="宋体" w:hAnsi="宋体" w:cs="宋体"/>
          <w:szCs w:val="21"/>
        </w:rPr>
      </w:pPr>
      <w:r>
        <w:rPr>
          <w:rFonts w:hint="eastAsia" w:ascii="宋体" w:hAnsi="宋体" w:cs="宋体"/>
          <w:szCs w:val="21"/>
          <w:highlight w:val="white"/>
        </w:rPr>
        <w:t>（1）供应商直接或间接从采购人或采购代理机构处获得其他供应商的投标情况，并修改其投标文件；</w:t>
      </w:r>
    </w:p>
    <w:p>
      <w:pPr>
        <w:snapToGrid w:val="0"/>
        <w:spacing w:line="360" w:lineRule="auto"/>
        <w:rPr>
          <w:rFonts w:ascii="宋体" w:hAnsi="宋体" w:cs="宋体"/>
          <w:szCs w:val="21"/>
        </w:rPr>
      </w:pPr>
      <w:r>
        <w:rPr>
          <w:rFonts w:hint="eastAsia" w:ascii="宋体" w:hAnsi="宋体" w:cs="宋体"/>
          <w:szCs w:val="21"/>
          <w:highlight w:val="white"/>
        </w:rPr>
        <w:t>（2）评审活动开始前供应商直接或间接从采购人或采购代理机构处获得评标委员会组成人员情况；</w:t>
      </w:r>
    </w:p>
    <w:p>
      <w:pPr>
        <w:snapToGrid w:val="0"/>
        <w:spacing w:line="360" w:lineRule="auto"/>
        <w:rPr>
          <w:rFonts w:ascii="宋体" w:hAnsi="宋体" w:cs="宋体"/>
          <w:szCs w:val="21"/>
        </w:rPr>
      </w:pPr>
      <w:r>
        <w:rPr>
          <w:rFonts w:hint="eastAsia" w:ascii="宋体" w:hAnsi="宋体" w:cs="宋体"/>
          <w:szCs w:val="21"/>
          <w:highlight w:val="white"/>
        </w:rPr>
        <w:t>（3）供应商接受采购人或采购代理机构授意撤换、修改投标文件；</w:t>
      </w:r>
    </w:p>
    <w:p>
      <w:pPr>
        <w:snapToGrid w:val="0"/>
        <w:spacing w:line="360" w:lineRule="auto"/>
        <w:rPr>
          <w:rFonts w:ascii="宋体" w:hAnsi="宋体" w:cs="宋体"/>
          <w:szCs w:val="21"/>
        </w:rPr>
      </w:pPr>
      <w:r>
        <w:rPr>
          <w:rFonts w:hint="eastAsia" w:ascii="宋体" w:hAnsi="宋体" w:cs="宋体"/>
          <w:szCs w:val="21"/>
          <w:highlight w:val="white"/>
        </w:rPr>
        <w:t>（4）供应商之间协商投标报价、技术方案等投标文件实质性内容；</w:t>
      </w:r>
    </w:p>
    <w:p>
      <w:pPr>
        <w:snapToGrid w:val="0"/>
        <w:spacing w:line="360" w:lineRule="auto"/>
        <w:rPr>
          <w:rFonts w:ascii="宋体" w:hAnsi="宋体" w:cs="宋体"/>
          <w:szCs w:val="21"/>
        </w:rPr>
      </w:pPr>
      <w:r>
        <w:rPr>
          <w:rFonts w:hint="eastAsia" w:ascii="宋体" w:hAnsi="宋体" w:cs="宋体"/>
          <w:szCs w:val="21"/>
          <w:highlight w:val="white"/>
        </w:rPr>
        <w:t>（5）属于同一集团、协会、商会等组织成员的供应商按照该组织要求协同投标；</w:t>
      </w:r>
    </w:p>
    <w:p>
      <w:pPr>
        <w:snapToGrid w:val="0"/>
        <w:spacing w:line="360" w:lineRule="auto"/>
        <w:rPr>
          <w:rFonts w:ascii="宋体" w:hAnsi="宋体" w:cs="宋体"/>
          <w:szCs w:val="21"/>
        </w:rPr>
      </w:pPr>
      <w:r>
        <w:rPr>
          <w:rFonts w:hint="eastAsia" w:ascii="宋体" w:hAnsi="宋体" w:cs="宋体"/>
          <w:szCs w:val="21"/>
          <w:highlight w:val="white"/>
        </w:rPr>
        <w:t>（6）供应商之间事先约定由某一特定供应商中标、成交；</w:t>
      </w:r>
    </w:p>
    <w:p>
      <w:pPr>
        <w:snapToGrid w:val="0"/>
        <w:spacing w:line="360" w:lineRule="auto"/>
        <w:rPr>
          <w:rFonts w:ascii="宋体" w:hAnsi="宋体" w:cs="宋体"/>
          <w:szCs w:val="21"/>
        </w:rPr>
      </w:pPr>
      <w:r>
        <w:rPr>
          <w:rFonts w:hint="eastAsia" w:ascii="宋体" w:hAnsi="宋体" w:cs="宋体"/>
          <w:szCs w:val="21"/>
          <w:highlight w:val="white"/>
        </w:rPr>
        <w:t>（7）供应商之间商定部分供应商放弃投标或者放弃中标、成交；</w:t>
      </w:r>
    </w:p>
    <w:p>
      <w:pPr>
        <w:snapToGrid w:val="0"/>
        <w:spacing w:line="360" w:lineRule="auto"/>
        <w:rPr>
          <w:rFonts w:ascii="宋体" w:hAnsi="宋体" w:cs="宋体"/>
          <w:szCs w:val="21"/>
        </w:rPr>
      </w:pPr>
      <w:r>
        <w:rPr>
          <w:rFonts w:hint="eastAsia" w:ascii="宋体" w:hAnsi="宋体" w:cs="宋体"/>
          <w:szCs w:val="21"/>
          <w:highlight w:val="white"/>
        </w:rPr>
        <w:t>（8）供应商与采购人或采购代理机构之间、供应商相互之间为谋求特定供应商中标成交或者排斥其他供应商的其他串通行为；</w:t>
      </w:r>
    </w:p>
    <w:p>
      <w:pPr>
        <w:snapToGrid w:val="0"/>
        <w:spacing w:line="360" w:lineRule="auto"/>
        <w:rPr>
          <w:rFonts w:ascii="宋体" w:hAnsi="宋体" w:cs="宋体"/>
          <w:szCs w:val="21"/>
        </w:rPr>
      </w:pPr>
      <w:r>
        <w:rPr>
          <w:rFonts w:hint="eastAsia" w:ascii="宋体" w:hAnsi="宋体" w:cs="宋体"/>
          <w:szCs w:val="21"/>
          <w:highlight w:val="white"/>
        </w:rPr>
        <w:t>（9）不同投标人的投标文件由同一单位或者个人编制；</w:t>
      </w:r>
    </w:p>
    <w:p>
      <w:pPr>
        <w:snapToGrid w:val="0"/>
        <w:spacing w:line="360" w:lineRule="auto"/>
        <w:rPr>
          <w:rFonts w:ascii="宋体" w:hAnsi="宋体" w:cs="宋体"/>
          <w:szCs w:val="21"/>
        </w:rPr>
      </w:pPr>
      <w:r>
        <w:rPr>
          <w:rFonts w:hint="eastAsia" w:ascii="宋体" w:hAnsi="宋体" w:cs="宋体"/>
          <w:szCs w:val="21"/>
          <w:highlight w:val="white"/>
        </w:rPr>
        <w:t>（10）不同投标人委托同一单位或者个人办理投标事宜；</w:t>
      </w:r>
    </w:p>
    <w:p>
      <w:pPr>
        <w:snapToGrid w:val="0"/>
        <w:spacing w:line="360" w:lineRule="auto"/>
        <w:rPr>
          <w:rFonts w:ascii="宋体" w:hAnsi="宋体" w:cs="宋体"/>
          <w:szCs w:val="21"/>
        </w:rPr>
      </w:pPr>
      <w:r>
        <w:rPr>
          <w:rFonts w:hint="eastAsia" w:ascii="宋体" w:hAnsi="宋体" w:cs="宋体"/>
          <w:szCs w:val="21"/>
          <w:highlight w:val="white"/>
        </w:rPr>
        <w:t>（11）不同投标人的投标文件载明的项目管理成员为同一人；</w:t>
      </w:r>
    </w:p>
    <w:p>
      <w:pPr>
        <w:snapToGrid w:val="0"/>
        <w:spacing w:line="360" w:lineRule="auto"/>
        <w:rPr>
          <w:rFonts w:ascii="宋体" w:hAnsi="宋体" w:cs="宋体"/>
          <w:szCs w:val="21"/>
        </w:rPr>
      </w:pPr>
      <w:r>
        <w:rPr>
          <w:rFonts w:hint="eastAsia" w:ascii="宋体" w:hAnsi="宋体" w:cs="宋体"/>
          <w:szCs w:val="21"/>
          <w:highlight w:val="white"/>
        </w:rPr>
        <w:t>（12）不同投标人的投标文件异常一致或者投标报价呈规律性差异；</w:t>
      </w:r>
    </w:p>
    <w:p>
      <w:pPr>
        <w:snapToGrid w:val="0"/>
        <w:spacing w:line="360" w:lineRule="auto"/>
      </w:pPr>
      <w:r>
        <w:rPr>
          <w:rFonts w:hint="eastAsia" w:ascii="宋体" w:hAnsi="宋体" w:cs="宋体"/>
          <w:szCs w:val="21"/>
          <w:highlight w:val="white"/>
        </w:rPr>
        <w:t>（13）不同投标人的投标文件相互混装；</w:t>
      </w:r>
    </w:p>
    <w:p>
      <w:pPr>
        <w:pStyle w:val="5"/>
        <w:snapToGrid w:val="0"/>
        <w:spacing w:before="0" w:after="0" w:line="360" w:lineRule="auto"/>
        <w:rPr>
          <w:rFonts w:ascii="宋体" w:hAnsi="宋体" w:cs="宋体"/>
        </w:rPr>
      </w:pPr>
      <w:bookmarkStart w:id="94" w:name="_Toc3492"/>
      <w:bookmarkStart w:id="95" w:name="_Toc27539"/>
      <w:bookmarkStart w:id="96" w:name="_Toc13674"/>
      <w:bookmarkStart w:id="97" w:name="_Toc25285"/>
      <w:bookmarkStart w:id="98" w:name="_Toc12239"/>
      <w:bookmarkStart w:id="99" w:name="_Toc10225"/>
      <w:bookmarkStart w:id="100" w:name="_Toc40699926"/>
      <w:r>
        <w:rPr>
          <w:rFonts w:hint="eastAsia" w:ascii="宋体" w:hAnsi="宋体" w:cs="宋体"/>
        </w:rPr>
        <w:t>7.合同授予</w:t>
      </w:r>
      <w:bookmarkEnd w:id="94"/>
      <w:bookmarkEnd w:id="95"/>
      <w:bookmarkEnd w:id="96"/>
      <w:bookmarkEnd w:id="97"/>
      <w:bookmarkEnd w:id="98"/>
      <w:bookmarkEnd w:id="99"/>
      <w:bookmarkEnd w:id="100"/>
    </w:p>
    <w:p>
      <w:pPr>
        <w:snapToGrid w:val="0"/>
        <w:spacing w:line="360" w:lineRule="auto"/>
        <w:rPr>
          <w:rFonts w:ascii="宋体" w:hAnsi="宋体" w:cs="宋体"/>
          <w:kern w:val="0"/>
        </w:rPr>
      </w:pPr>
      <w:bookmarkStart w:id="101" w:name="_Toc443"/>
      <w:bookmarkStart w:id="102" w:name="_Toc17614"/>
      <w:r>
        <w:rPr>
          <w:rFonts w:hint="eastAsia" w:ascii="宋体" w:hAnsi="宋体" w:cs="宋体"/>
          <w:kern w:val="0"/>
        </w:rPr>
        <w:t>7.1中标候选人公示</w:t>
      </w:r>
      <w:bookmarkEnd w:id="101"/>
      <w:bookmarkEnd w:id="102"/>
    </w:p>
    <w:p>
      <w:pPr>
        <w:snapToGrid w:val="0"/>
        <w:spacing w:line="360" w:lineRule="auto"/>
        <w:rPr>
          <w:rFonts w:ascii="宋体" w:hAnsi="宋体" w:cs="宋体"/>
          <w:kern w:val="0"/>
        </w:rPr>
      </w:pPr>
      <w:r>
        <w:rPr>
          <w:rFonts w:hint="eastAsia" w:ascii="宋体" w:hAnsi="宋体" w:cs="宋体"/>
          <w:kern w:val="0"/>
        </w:rPr>
        <w:t>招标人在收到评标报告后，按照投标人须知前附表规定的公示媒介和期限公示中标候选人，公示期不得少于3个工作日。</w:t>
      </w:r>
    </w:p>
    <w:p>
      <w:pPr>
        <w:snapToGrid w:val="0"/>
        <w:spacing w:line="360" w:lineRule="auto"/>
        <w:rPr>
          <w:rFonts w:ascii="宋体" w:hAnsi="宋体" w:cs="宋体"/>
          <w:kern w:val="0"/>
        </w:rPr>
      </w:pPr>
      <w:bookmarkStart w:id="103" w:name="_Toc1530"/>
      <w:bookmarkStart w:id="104" w:name="_Toc23256"/>
      <w:r>
        <w:rPr>
          <w:rFonts w:hint="eastAsia" w:ascii="宋体" w:hAnsi="宋体" w:cs="宋体"/>
          <w:kern w:val="0"/>
        </w:rPr>
        <w:t>7.2评标结果异议</w:t>
      </w:r>
      <w:bookmarkEnd w:id="103"/>
      <w:bookmarkEnd w:id="104"/>
    </w:p>
    <w:p>
      <w:pPr>
        <w:snapToGrid w:val="0"/>
        <w:spacing w:line="360" w:lineRule="auto"/>
        <w:rPr>
          <w:rFonts w:ascii="宋体" w:hAnsi="宋体" w:cs="宋体"/>
          <w:kern w:val="0"/>
        </w:rPr>
      </w:pPr>
      <w:r>
        <w:rPr>
          <w:rFonts w:hint="eastAsia" w:ascii="宋体" w:hAnsi="宋体" w:cs="宋体"/>
          <w:kern w:val="0"/>
        </w:rPr>
        <w:t>投标人或者其他利害关系人对评标结果有异议的，应当在中标候选人公示期间提出。招标人将在收到异议之日起 3 日内作出答复；作出答复前，将暂停招标投标活动。</w:t>
      </w:r>
    </w:p>
    <w:p>
      <w:pPr>
        <w:snapToGrid w:val="0"/>
        <w:spacing w:line="360" w:lineRule="auto"/>
        <w:rPr>
          <w:rFonts w:ascii="宋体" w:hAnsi="宋体" w:cs="宋体"/>
          <w:kern w:val="0"/>
        </w:rPr>
      </w:pPr>
      <w:bookmarkStart w:id="105" w:name="_Toc6962"/>
      <w:bookmarkStart w:id="106" w:name="_Toc22097"/>
      <w:r>
        <w:rPr>
          <w:rFonts w:hint="eastAsia" w:ascii="宋体" w:hAnsi="宋体" w:cs="宋体"/>
          <w:kern w:val="0"/>
        </w:rPr>
        <w:t>7.3中标候选人履约能力审查</w:t>
      </w:r>
      <w:bookmarkEnd w:id="105"/>
      <w:bookmarkEnd w:id="106"/>
    </w:p>
    <w:p>
      <w:pPr>
        <w:snapToGrid w:val="0"/>
        <w:spacing w:line="360" w:lineRule="auto"/>
        <w:rPr>
          <w:rFonts w:ascii="宋体" w:hAnsi="宋体" w:cs="宋体"/>
          <w:kern w:val="0"/>
        </w:rPr>
      </w:pPr>
      <w:r>
        <w:rPr>
          <w:rFonts w:hint="eastAsia" w:ascii="宋体" w:hAnsi="宋体" w:cs="宋体"/>
          <w:kern w:val="0"/>
        </w:rPr>
        <w:t>中标候选人的经营、财务状况发生较大变化或存在违法行为，招标人认为可能影响其履约能力的，将在发出中标通知书前提请原评标委员会按照招标文件规定的标准和方法进行审查确认。</w:t>
      </w:r>
    </w:p>
    <w:p>
      <w:pPr>
        <w:snapToGrid w:val="0"/>
        <w:spacing w:line="360" w:lineRule="auto"/>
        <w:rPr>
          <w:rFonts w:ascii="宋体" w:hAnsi="宋体" w:cs="宋体"/>
          <w:kern w:val="0"/>
        </w:rPr>
      </w:pPr>
      <w:bookmarkStart w:id="107" w:name="_Toc31335"/>
      <w:bookmarkStart w:id="108" w:name="_Toc28160"/>
      <w:r>
        <w:rPr>
          <w:rFonts w:hint="eastAsia" w:ascii="宋体" w:hAnsi="宋体" w:cs="宋体"/>
          <w:kern w:val="0"/>
        </w:rPr>
        <w:t>7.4定标</w:t>
      </w:r>
      <w:bookmarkEnd w:id="107"/>
      <w:bookmarkEnd w:id="108"/>
    </w:p>
    <w:p>
      <w:pPr>
        <w:snapToGrid w:val="0"/>
        <w:spacing w:line="360" w:lineRule="auto"/>
        <w:rPr>
          <w:rFonts w:ascii="宋体" w:hAnsi="宋体" w:cs="宋体"/>
          <w:kern w:val="0"/>
        </w:rPr>
      </w:pPr>
      <w:r>
        <w:rPr>
          <w:rFonts w:hint="eastAsia" w:ascii="宋体" w:hAnsi="宋体" w:cs="宋体"/>
          <w:kern w:val="0"/>
        </w:rPr>
        <w:t>按照投标人须知前附表的规定，招标人或招标人授权的评标委员会依法确定中标人。</w:t>
      </w:r>
    </w:p>
    <w:p>
      <w:pPr>
        <w:snapToGrid w:val="0"/>
        <w:spacing w:line="360" w:lineRule="auto"/>
        <w:rPr>
          <w:rFonts w:ascii="宋体" w:hAnsi="宋体" w:cs="宋体"/>
          <w:kern w:val="0"/>
        </w:rPr>
      </w:pPr>
      <w:bookmarkStart w:id="109" w:name="_Toc5423"/>
      <w:bookmarkStart w:id="110" w:name="_Toc7363"/>
      <w:r>
        <w:rPr>
          <w:rFonts w:hint="eastAsia" w:ascii="宋体" w:hAnsi="宋体" w:cs="宋体"/>
          <w:kern w:val="0"/>
        </w:rPr>
        <w:t>7.5中标通知</w:t>
      </w:r>
      <w:bookmarkEnd w:id="109"/>
      <w:bookmarkEnd w:id="110"/>
    </w:p>
    <w:p>
      <w:pPr>
        <w:snapToGrid w:val="0"/>
        <w:spacing w:line="360" w:lineRule="auto"/>
        <w:rPr>
          <w:rFonts w:ascii="宋体" w:hAnsi="宋体" w:cs="宋体"/>
          <w:kern w:val="0"/>
        </w:rPr>
      </w:pPr>
      <w:r>
        <w:rPr>
          <w:rFonts w:hint="eastAsia" w:ascii="宋体" w:hAnsi="宋体" w:cs="宋体"/>
          <w:kern w:val="0"/>
        </w:rPr>
        <w:t>在本章第3.3款规定的投标有效期内，招标人以书面形式向中标人发出中标通知书，同时将中标结果通知未中标的投标人。</w:t>
      </w:r>
    </w:p>
    <w:p>
      <w:pPr>
        <w:snapToGrid w:val="0"/>
        <w:spacing w:line="360" w:lineRule="auto"/>
      </w:pPr>
      <w:bookmarkStart w:id="111" w:name="_Toc24577"/>
      <w:bookmarkStart w:id="112" w:name="_Toc28488"/>
      <w:r>
        <w:rPr>
          <w:rFonts w:hint="eastAsia" w:ascii="宋体" w:hAnsi="宋体" w:cs="宋体"/>
          <w:kern w:val="0"/>
        </w:rPr>
        <w:t>7.6履约保证金</w:t>
      </w:r>
      <w:bookmarkEnd w:id="111"/>
      <w:bookmarkEnd w:id="112"/>
    </w:p>
    <w:p>
      <w:pPr>
        <w:snapToGrid w:val="0"/>
        <w:spacing w:line="360" w:lineRule="auto"/>
        <w:rPr>
          <w:rFonts w:ascii="宋体" w:hAnsi="宋体" w:cs="宋体"/>
          <w:b/>
          <w:bCs/>
          <w:kern w:val="0"/>
        </w:rPr>
      </w:pPr>
      <w:r>
        <w:rPr>
          <w:rFonts w:hint="eastAsia" w:ascii="宋体" w:hAnsi="宋体" w:cs="宋体"/>
          <w:kern w:val="0"/>
        </w:rPr>
        <w:t>7.6.1中标人应于中标后3个工作日内，在与采购人签订合同前，按投标人须知前附表规定的形式、金额向招标人提交履约保证金。除投标人须知前附表另有规定外，</w:t>
      </w:r>
      <w:r>
        <w:rPr>
          <w:rFonts w:hint="eastAsia" w:ascii="宋体" w:hAnsi="宋体" w:cs="宋体"/>
          <w:b/>
          <w:bCs/>
          <w:kern w:val="0"/>
        </w:rPr>
        <w:t>履约保证金为</w:t>
      </w:r>
      <w:r>
        <w:rPr>
          <w:rFonts w:hint="eastAsia" w:ascii="宋体" w:hAnsi="宋体" w:cs="宋体"/>
          <w:kern w:val="0"/>
          <w:u w:val="single"/>
        </w:rPr>
        <w:t>/</w:t>
      </w:r>
      <w:r>
        <w:rPr>
          <w:rFonts w:hint="eastAsia" w:ascii="宋体" w:hAnsi="宋体" w:cs="宋体"/>
          <w:b/>
          <w:bCs/>
          <w:kern w:val="0"/>
        </w:rPr>
        <w:t>。</w:t>
      </w:r>
    </w:p>
    <w:p>
      <w:pPr>
        <w:snapToGrid w:val="0"/>
        <w:spacing w:line="360" w:lineRule="auto"/>
        <w:rPr>
          <w:rFonts w:ascii="宋体" w:hAnsi="宋体" w:cs="宋体"/>
          <w:kern w:val="0"/>
        </w:rPr>
      </w:pPr>
      <w:r>
        <w:rPr>
          <w:rFonts w:hint="eastAsia" w:ascii="宋体" w:hAnsi="宋体" w:cs="宋体"/>
          <w:kern w:val="0"/>
        </w:rPr>
        <w:t>7.6.2中标人不能按本章第7.6.1项要求提交履约保证金的，视为放弃中标，其投标保证金不予退还，给招标人造成的损失超过投标保证金数额的，中标人还应当对超过部分予以赔偿。</w:t>
      </w:r>
    </w:p>
    <w:p>
      <w:pPr>
        <w:snapToGrid w:val="0"/>
        <w:spacing w:line="360" w:lineRule="auto"/>
      </w:pPr>
      <w:r>
        <w:rPr>
          <w:rFonts w:hint="eastAsia" w:ascii="宋体" w:hAnsi="宋体" w:cs="宋体"/>
          <w:kern w:val="0"/>
        </w:rPr>
        <w:t>7.6.3项目完成验收后，中标人凭采购人出具的验收报告、履约保证金收据办理退付履约保证金手续，履约保证金将无息退回至中标人法人账户中。</w:t>
      </w:r>
    </w:p>
    <w:p>
      <w:pPr>
        <w:snapToGrid w:val="0"/>
        <w:spacing w:line="360" w:lineRule="auto"/>
        <w:rPr>
          <w:rFonts w:ascii="宋体" w:hAnsi="宋体" w:cs="宋体"/>
          <w:kern w:val="0"/>
        </w:rPr>
      </w:pPr>
      <w:bookmarkStart w:id="113" w:name="_Toc9918"/>
      <w:r>
        <w:rPr>
          <w:rFonts w:hint="eastAsia" w:ascii="宋体" w:hAnsi="宋体" w:cs="宋体"/>
          <w:kern w:val="0"/>
        </w:rPr>
        <w:t>7.7签订合同</w:t>
      </w:r>
      <w:bookmarkEnd w:id="113"/>
    </w:p>
    <w:p>
      <w:pPr>
        <w:snapToGrid w:val="0"/>
        <w:spacing w:line="360" w:lineRule="auto"/>
        <w:rPr>
          <w:rFonts w:ascii="宋体" w:hAnsi="宋体" w:cs="宋体"/>
          <w:kern w:val="0"/>
        </w:rPr>
      </w:pPr>
      <w:r>
        <w:rPr>
          <w:rFonts w:hint="eastAsia" w:ascii="宋体" w:hAnsi="宋体" w:cs="宋体"/>
          <w:kern w:val="0"/>
        </w:rPr>
        <w:t>7.7.1招标人和中标人应当在中标通知书发出之日起 30 日内，根据招标文件和中标人的投标文件订立书面合同。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snapToGrid w:val="0"/>
        <w:spacing w:line="360" w:lineRule="auto"/>
        <w:rPr>
          <w:rFonts w:ascii="宋体" w:hAnsi="宋体" w:cs="宋体"/>
          <w:kern w:val="0"/>
        </w:rPr>
      </w:pPr>
      <w:r>
        <w:rPr>
          <w:rFonts w:hint="eastAsia" w:ascii="宋体" w:hAnsi="宋体" w:cs="宋体"/>
          <w:kern w:val="0"/>
        </w:rPr>
        <w:t>7.7.2发出中标通知书后，招标人无正当理由拒签合同，或者在签订合同时向中标人提出附加条件的，招标人向中标人退还投标保证金；给中标人造成损失的，还应当赔偿损失。</w:t>
      </w:r>
    </w:p>
    <w:p>
      <w:pPr>
        <w:snapToGrid w:val="0"/>
        <w:spacing w:line="360" w:lineRule="auto"/>
        <w:rPr>
          <w:rFonts w:ascii="宋体" w:hAnsi="宋体" w:cs="宋体"/>
          <w:kern w:val="0"/>
        </w:rPr>
      </w:pPr>
      <w:r>
        <w:rPr>
          <w:rFonts w:hint="eastAsia" w:ascii="宋体" w:hAnsi="宋体" w:cs="宋体"/>
          <w:kern w:val="0"/>
        </w:rPr>
        <w:t>7.7.3联合体中标的，联合体各方应当共同与招标人签订合同，就中标项目向招标人承担连带责任。</w:t>
      </w:r>
    </w:p>
    <w:p>
      <w:pPr>
        <w:pStyle w:val="5"/>
        <w:snapToGrid w:val="0"/>
        <w:spacing w:before="0" w:after="0" w:line="360" w:lineRule="auto"/>
        <w:rPr>
          <w:rFonts w:ascii="宋体" w:hAnsi="宋体" w:cs="宋体"/>
        </w:rPr>
      </w:pPr>
      <w:bookmarkStart w:id="114" w:name="_Toc20749"/>
      <w:bookmarkStart w:id="115" w:name="_Toc26734"/>
      <w:bookmarkStart w:id="116" w:name="_Toc40699927"/>
      <w:bookmarkStart w:id="117" w:name="_Toc17066"/>
      <w:bookmarkStart w:id="118" w:name="_Toc12889"/>
      <w:bookmarkStart w:id="119" w:name="_Toc2490"/>
      <w:bookmarkStart w:id="120" w:name="_Toc15957"/>
      <w:r>
        <w:rPr>
          <w:rFonts w:hint="eastAsia" w:ascii="宋体" w:hAnsi="宋体" w:cs="宋体"/>
        </w:rPr>
        <w:t>8.纪律和监督</w:t>
      </w:r>
      <w:bookmarkEnd w:id="114"/>
      <w:bookmarkEnd w:id="115"/>
      <w:bookmarkEnd w:id="116"/>
      <w:bookmarkEnd w:id="117"/>
      <w:bookmarkEnd w:id="118"/>
      <w:bookmarkEnd w:id="119"/>
      <w:bookmarkEnd w:id="120"/>
    </w:p>
    <w:p>
      <w:pPr>
        <w:snapToGrid w:val="0"/>
        <w:spacing w:line="360" w:lineRule="auto"/>
        <w:rPr>
          <w:rFonts w:ascii="宋体" w:hAnsi="宋体" w:cs="宋体"/>
          <w:kern w:val="0"/>
        </w:rPr>
      </w:pPr>
      <w:bookmarkStart w:id="121" w:name="_Toc15697"/>
      <w:bookmarkStart w:id="122" w:name="_Toc14910"/>
      <w:r>
        <w:rPr>
          <w:rFonts w:hint="eastAsia" w:ascii="宋体" w:hAnsi="宋体" w:cs="宋体"/>
          <w:kern w:val="0"/>
        </w:rPr>
        <w:t>8.1对招标人的纪律要求</w:t>
      </w:r>
      <w:bookmarkEnd w:id="121"/>
      <w:bookmarkEnd w:id="122"/>
    </w:p>
    <w:p>
      <w:pPr>
        <w:snapToGrid w:val="0"/>
        <w:spacing w:line="360" w:lineRule="auto"/>
        <w:rPr>
          <w:rFonts w:ascii="宋体" w:hAnsi="宋体" w:cs="宋体"/>
          <w:kern w:val="0"/>
        </w:rPr>
      </w:pPr>
      <w:r>
        <w:rPr>
          <w:rFonts w:hint="eastAsia" w:ascii="宋体" w:hAnsi="宋体" w:cs="宋体"/>
          <w:kern w:val="0"/>
        </w:rPr>
        <w:t>招标人不得泄露招标投标活动中应当保密的情况和资料，不得与投标人串通损害国家利益、社会公共利益或者他人合法权益。</w:t>
      </w:r>
    </w:p>
    <w:p>
      <w:pPr>
        <w:snapToGrid w:val="0"/>
        <w:spacing w:line="360" w:lineRule="auto"/>
        <w:rPr>
          <w:rFonts w:ascii="宋体" w:hAnsi="宋体" w:cs="宋体"/>
          <w:kern w:val="0"/>
        </w:rPr>
      </w:pPr>
      <w:bookmarkStart w:id="123" w:name="_Toc17821"/>
      <w:bookmarkStart w:id="124" w:name="_Toc30658"/>
      <w:r>
        <w:rPr>
          <w:rFonts w:hint="eastAsia" w:ascii="宋体" w:hAnsi="宋体" w:cs="宋体"/>
          <w:kern w:val="0"/>
        </w:rPr>
        <w:t>8.2对投标人的纪律要求</w:t>
      </w:r>
      <w:bookmarkEnd w:id="123"/>
      <w:bookmarkEnd w:id="124"/>
    </w:p>
    <w:p>
      <w:pPr>
        <w:snapToGrid w:val="0"/>
        <w:spacing w:line="360" w:lineRule="auto"/>
        <w:rPr>
          <w:rFonts w:ascii="宋体" w:hAnsi="宋体" w:cs="宋体"/>
          <w:kern w:val="0"/>
        </w:rPr>
      </w:pPr>
      <w:r>
        <w:rPr>
          <w:rFonts w:hint="eastAsia" w:ascii="宋体" w:hAnsi="宋体" w:cs="宋体"/>
          <w:kern w:val="0"/>
        </w:rPr>
        <w:t>投标人不得相互串通投标或者与招标人串通投标，不得向招标人或者评标委员会成员行贿谋取中标，不得以他人名义投标或者以其他方式弄虚作假骗取中标；投标人不得以任何方式干扰、影响评标工作。</w:t>
      </w:r>
    </w:p>
    <w:p>
      <w:pPr>
        <w:snapToGrid w:val="0"/>
        <w:spacing w:line="360" w:lineRule="auto"/>
        <w:rPr>
          <w:rFonts w:ascii="宋体" w:hAnsi="宋体" w:cs="宋体"/>
          <w:kern w:val="0"/>
        </w:rPr>
      </w:pPr>
      <w:bookmarkStart w:id="125" w:name="_Toc13412"/>
      <w:bookmarkStart w:id="126" w:name="_Toc32673"/>
      <w:r>
        <w:rPr>
          <w:rFonts w:hint="eastAsia" w:ascii="宋体" w:hAnsi="宋体" w:cs="宋体"/>
          <w:kern w:val="0"/>
        </w:rPr>
        <w:t>8.3对评标委员会成员的纪律要求</w:t>
      </w:r>
      <w:bookmarkEnd w:id="125"/>
      <w:bookmarkEnd w:id="126"/>
    </w:p>
    <w:p>
      <w:pPr>
        <w:snapToGrid w:val="0"/>
        <w:spacing w:line="360" w:lineRule="auto"/>
        <w:rPr>
          <w:rFonts w:ascii="宋体" w:hAnsi="宋体" w:cs="宋体"/>
          <w:kern w:val="0"/>
        </w:rPr>
      </w:pPr>
      <w:r>
        <w:rPr>
          <w:rFonts w:hint="eastAsia" w:ascii="宋体" w:hAnsi="宋体" w:cs="宋体"/>
          <w:kern w:val="0"/>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二章“评标办法”没有规定的评审因素和标准进行评标。</w:t>
      </w:r>
    </w:p>
    <w:p>
      <w:pPr>
        <w:snapToGrid w:val="0"/>
        <w:spacing w:line="360" w:lineRule="auto"/>
        <w:rPr>
          <w:rFonts w:ascii="宋体" w:hAnsi="宋体" w:cs="宋体"/>
          <w:kern w:val="0"/>
        </w:rPr>
      </w:pPr>
      <w:bookmarkStart w:id="127" w:name="_Toc16315"/>
      <w:bookmarkStart w:id="128" w:name="_Toc25524"/>
      <w:r>
        <w:rPr>
          <w:rFonts w:hint="eastAsia" w:ascii="宋体" w:hAnsi="宋体" w:cs="宋体"/>
          <w:kern w:val="0"/>
        </w:rPr>
        <w:t>8.4对与评标活动有关的工作人员的纪律要求</w:t>
      </w:r>
      <w:bookmarkEnd w:id="127"/>
      <w:bookmarkEnd w:id="128"/>
    </w:p>
    <w:p>
      <w:pPr>
        <w:snapToGrid w:val="0"/>
        <w:spacing w:line="360" w:lineRule="auto"/>
        <w:rPr>
          <w:rFonts w:ascii="宋体" w:hAnsi="宋体" w:cs="宋体"/>
          <w:kern w:val="0"/>
        </w:rPr>
      </w:pPr>
      <w:r>
        <w:rPr>
          <w:rFonts w:hint="eastAsia" w:ascii="宋体" w:hAnsi="宋体" w:cs="宋体"/>
          <w:kern w:val="0"/>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snapToGrid w:val="0"/>
        <w:spacing w:line="360" w:lineRule="auto"/>
        <w:rPr>
          <w:rFonts w:ascii="宋体" w:hAnsi="宋体" w:cs="宋体"/>
          <w:kern w:val="0"/>
        </w:rPr>
      </w:pPr>
      <w:bookmarkStart w:id="129" w:name="_Toc19865"/>
      <w:bookmarkStart w:id="130" w:name="_Toc2722"/>
      <w:r>
        <w:rPr>
          <w:rFonts w:hint="eastAsia" w:ascii="宋体" w:hAnsi="宋体" w:cs="宋体"/>
          <w:kern w:val="0"/>
        </w:rPr>
        <w:t>8.5质疑与投诉</w:t>
      </w:r>
      <w:bookmarkEnd w:id="129"/>
      <w:bookmarkEnd w:id="130"/>
    </w:p>
    <w:p>
      <w:pPr>
        <w:snapToGrid w:val="0"/>
        <w:spacing w:line="360" w:lineRule="auto"/>
        <w:rPr>
          <w:rFonts w:ascii="宋体" w:hAnsi="宋体" w:cs="宋体"/>
          <w:kern w:val="0"/>
        </w:rPr>
      </w:pPr>
      <w:r>
        <w:rPr>
          <w:rFonts w:hint="eastAsia" w:ascii="宋体" w:hAnsi="宋体" w:cs="宋体"/>
          <w:kern w:val="0"/>
        </w:rPr>
        <w:t>8.5.1质疑人必须是直接参加本次招标活动的当事人。投标人认为采购文件、采购过程和中标结果使自己的权益受到损害的，可以在知道或者应知其权益受到损害之日起七个工作日内（具体起算时间见34.2），将质疑函以书面形式由法定代表人或法人授权代表送达采购代理机构或采购单位。质疑超出采购机构代理范围的，供应商应当向采购人提出。</w:t>
      </w:r>
    </w:p>
    <w:p>
      <w:pPr>
        <w:spacing w:line="360" w:lineRule="auto"/>
        <w:rPr>
          <w:rFonts w:ascii="宋体" w:hAnsi="宋体" w:cs="宋体"/>
          <w:szCs w:val="21"/>
        </w:rPr>
      </w:pPr>
      <w:r>
        <w:rPr>
          <w:rFonts w:hint="eastAsia" w:ascii="宋体" w:hAnsi="宋体" w:cs="宋体"/>
          <w:szCs w:val="21"/>
          <w:highlight w:val="white"/>
        </w:rPr>
        <w:t>8.5.2质疑起算时间</w:t>
      </w:r>
    </w:p>
    <w:p>
      <w:pPr>
        <w:spacing w:line="360" w:lineRule="auto"/>
        <w:rPr>
          <w:rFonts w:ascii="宋体" w:hAnsi="宋体" w:cs="宋体"/>
          <w:szCs w:val="21"/>
        </w:rPr>
      </w:pPr>
      <w:r>
        <w:rPr>
          <w:rFonts w:hint="eastAsia" w:ascii="宋体" w:hAnsi="宋体" w:cs="宋体"/>
          <w:szCs w:val="21"/>
          <w:highlight w:val="white"/>
        </w:rPr>
        <w:t>（1）对本项目采购文件提出质疑的，为采购文件公告期限届满之日；</w:t>
      </w:r>
    </w:p>
    <w:p>
      <w:pPr>
        <w:spacing w:line="360" w:lineRule="auto"/>
        <w:rPr>
          <w:rFonts w:ascii="宋体" w:hAnsi="宋体" w:cs="宋体"/>
          <w:szCs w:val="21"/>
        </w:rPr>
      </w:pPr>
      <w:r>
        <w:rPr>
          <w:rFonts w:hint="eastAsia" w:ascii="宋体" w:hAnsi="宋体" w:cs="宋体"/>
          <w:szCs w:val="21"/>
          <w:highlight w:val="white"/>
        </w:rPr>
        <w:t>（2）对本项目采购过程提出质疑的，为各采购程序环节结束之日；</w:t>
      </w:r>
    </w:p>
    <w:p>
      <w:pPr>
        <w:spacing w:line="360" w:lineRule="auto"/>
        <w:rPr>
          <w:rFonts w:ascii="宋体" w:hAnsi="宋体" w:cs="宋体"/>
          <w:szCs w:val="21"/>
        </w:rPr>
      </w:pPr>
      <w:r>
        <w:rPr>
          <w:rFonts w:hint="eastAsia" w:ascii="宋体" w:hAnsi="宋体" w:cs="宋体"/>
          <w:szCs w:val="21"/>
          <w:highlight w:val="white"/>
        </w:rPr>
        <w:t>（3）对本项目中标或者成交结果提出质疑的，为中标或者成交结果公告期限届满之日。</w:t>
      </w:r>
    </w:p>
    <w:p>
      <w:pPr>
        <w:spacing w:line="360" w:lineRule="auto"/>
        <w:rPr>
          <w:rFonts w:ascii="宋体" w:hAnsi="宋体" w:cs="宋体"/>
          <w:szCs w:val="21"/>
        </w:rPr>
      </w:pPr>
      <w:r>
        <w:rPr>
          <w:rFonts w:hint="eastAsia" w:ascii="宋体" w:hAnsi="宋体" w:cs="宋体"/>
          <w:szCs w:val="21"/>
          <w:highlight w:val="white"/>
        </w:rPr>
        <w:t>8.5.3投标人委托代理质疑的，应当向代理人提交授权委托书，并载明委托代理的具体权限和事项。委托代理人须为质疑人正式工作人员，提供近三个月内质疑人为其缴纳社会保险的证明。</w:t>
      </w:r>
    </w:p>
    <w:p>
      <w:pPr>
        <w:spacing w:line="360" w:lineRule="auto"/>
        <w:rPr>
          <w:rFonts w:ascii="宋体" w:hAnsi="宋体" w:cs="宋体"/>
          <w:szCs w:val="21"/>
        </w:rPr>
      </w:pPr>
      <w:r>
        <w:rPr>
          <w:rFonts w:hint="eastAsia" w:ascii="宋体" w:hAnsi="宋体" w:cs="宋体"/>
          <w:szCs w:val="21"/>
          <w:highlight w:val="white"/>
        </w:rPr>
        <w:t>8.5.4质疑函的必备内容</w:t>
      </w:r>
    </w:p>
    <w:p>
      <w:pPr>
        <w:spacing w:line="360" w:lineRule="auto"/>
        <w:rPr>
          <w:rFonts w:ascii="宋体" w:hAnsi="宋体" w:cs="宋体"/>
          <w:szCs w:val="21"/>
        </w:rPr>
      </w:pPr>
      <w:r>
        <w:rPr>
          <w:rFonts w:hint="eastAsia" w:ascii="宋体" w:hAnsi="宋体" w:cs="宋体"/>
          <w:szCs w:val="21"/>
          <w:highlight w:val="white"/>
        </w:rPr>
        <w:t>（1）质疑函必须注明质疑人单位名称、详细地址、邮编、单位和法定代表人电话号码、联系人及电话；</w:t>
      </w:r>
    </w:p>
    <w:p>
      <w:pPr>
        <w:spacing w:line="360" w:lineRule="auto"/>
        <w:rPr>
          <w:rFonts w:ascii="宋体" w:hAnsi="宋体" w:cs="宋体"/>
          <w:szCs w:val="21"/>
        </w:rPr>
      </w:pPr>
      <w:r>
        <w:rPr>
          <w:rFonts w:hint="eastAsia" w:ascii="宋体" w:hAnsi="宋体" w:cs="宋体"/>
          <w:szCs w:val="21"/>
          <w:highlight w:val="white"/>
        </w:rPr>
        <w:t>（2）所参加项目的具体质疑事项及事实依据；</w:t>
      </w:r>
    </w:p>
    <w:p>
      <w:pPr>
        <w:spacing w:line="360" w:lineRule="auto"/>
        <w:rPr>
          <w:rFonts w:ascii="宋体" w:hAnsi="宋体" w:cs="宋体"/>
          <w:szCs w:val="21"/>
        </w:rPr>
      </w:pPr>
      <w:r>
        <w:rPr>
          <w:rFonts w:hint="eastAsia" w:ascii="宋体" w:hAnsi="宋体" w:cs="宋体"/>
          <w:szCs w:val="21"/>
          <w:highlight w:val="white"/>
        </w:rPr>
        <w:t>（3）认为自己合法权益受到损害或可能受到损害的相关证据材料；</w:t>
      </w:r>
    </w:p>
    <w:p>
      <w:pPr>
        <w:spacing w:line="360" w:lineRule="auto"/>
        <w:rPr>
          <w:rFonts w:ascii="宋体" w:hAnsi="宋体" w:cs="宋体"/>
          <w:szCs w:val="21"/>
        </w:rPr>
      </w:pPr>
      <w:r>
        <w:rPr>
          <w:rFonts w:hint="eastAsia" w:ascii="宋体" w:hAnsi="宋体" w:cs="宋体"/>
          <w:szCs w:val="21"/>
          <w:highlight w:val="white"/>
        </w:rPr>
        <w:t xml:space="preserve">（4）提起质疑的日期； </w:t>
      </w:r>
    </w:p>
    <w:p>
      <w:pPr>
        <w:spacing w:line="360" w:lineRule="auto"/>
        <w:rPr>
          <w:rFonts w:ascii="宋体" w:hAnsi="宋体" w:cs="宋体"/>
          <w:szCs w:val="21"/>
        </w:rPr>
      </w:pPr>
      <w:r>
        <w:rPr>
          <w:rFonts w:hint="eastAsia" w:ascii="宋体" w:hAnsi="宋体" w:cs="宋体"/>
          <w:szCs w:val="21"/>
          <w:highlight w:val="white"/>
        </w:rPr>
        <w:t>（5）质疑函必须由法定代表人签字并加盖公章。</w:t>
      </w:r>
    </w:p>
    <w:p>
      <w:pPr>
        <w:spacing w:line="360" w:lineRule="auto"/>
        <w:rPr>
          <w:rFonts w:ascii="宋体" w:hAnsi="宋体" w:cs="宋体"/>
          <w:szCs w:val="21"/>
        </w:rPr>
      </w:pPr>
      <w:r>
        <w:rPr>
          <w:rFonts w:hint="eastAsia" w:ascii="宋体" w:hAnsi="宋体" w:cs="宋体"/>
          <w:szCs w:val="21"/>
          <w:highlight w:val="white"/>
        </w:rPr>
        <w:t>8.5.5质疑应符合下列条件：</w:t>
      </w:r>
    </w:p>
    <w:p>
      <w:pPr>
        <w:spacing w:line="360" w:lineRule="auto"/>
        <w:rPr>
          <w:rFonts w:ascii="宋体" w:hAnsi="宋体" w:cs="宋体"/>
          <w:szCs w:val="21"/>
        </w:rPr>
      </w:pPr>
      <w:r>
        <w:rPr>
          <w:rFonts w:hint="eastAsia" w:ascii="宋体" w:hAnsi="宋体" w:cs="宋体"/>
          <w:szCs w:val="21"/>
          <w:highlight w:val="white"/>
        </w:rPr>
        <w:t>（1）质疑人是参与所质疑项目的投标人；</w:t>
      </w:r>
    </w:p>
    <w:p>
      <w:pPr>
        <w:spacing w:line="360" w:lineRule="auto"/>
        <w:rPr>
          <w:rFonts w:ascii="宋体" w:hAnsi="宋体" w:cs="宋体"/>
          <w:szCs w:val="21"/>
        </w:rPr>
      </w:pPr>
      <w:r>
        <w:rPr>
          <w:rFonts w:hint="eastAsia" w:ascii="宋体" w:hAnsi="宋体" w:cs="宋体"/>
          <w:szCs w:val="21"/>
          <w:highlight w:val="white"/>
        </w:rPr>
        <w:t>（2）质疑函内容符合相关的规定；</w:t>
      </w:r>
    </w:p>
    <w:p>
      <w:pPr>
        <w:spacing w:line="360" w:lineRule="auto"/>
        <w:rPr>
          <w:rFonts w:ascii="宋体" w:hAnsi="宋体" w:cs="宋体"/>
          <w:szCs w:val="21"/>
        </w:rPr>
      </w:pPr>
      <w:r>
        <w:rPr>
          <w:rFonts w:hint="eastAsia" w:ascii="宋体" w:hAnsi="宋体" w:cs="宋体"/>
          <w:szCs w:val="21"/>
          <w:highlight w:val="white"/>
        </w:rPr>
        <w:t>（3）在规定的有效期限内提起质疑；</w:t>
      </w:r>
    </w:p>
    <w:p>
      <w:pPr>
        <w:spacing w:line="360" w:lineRule="auto"/>
        <w:rPr>
          <w:rFonts w:ascii="宋体" w:hAnsi="宋体" w:cs="宋体"/>
          <w:szCs w:val="21"/>
        </w:rPr>
      </w:pPr>
      <w:r>
        <w:rPr>
          <w:rFonts w:hint="eastAsia" w:ascii="宋体" w:hAnsi="宋体" w:cs="宋体"/>
          <w:szCs w:val="21"/>
          <w:highlight w:val="white"/>
        </w:rPr>
        <w:t>（4）国务院财政部门规定的其他条件。</w:t>
      </w:r>
    </w:p>
    <w:p>
      <w:pPr>
        <w:spacing w:line="360" w:lineRule="auto"/>
        <w:rPr>
          <w:rFonts w:ascii="宋体" w:hAnsi="宋体" w:cs="宋体"/>
          <w:szCs w:val="21"/>
        </w:rPr>
      </w:pPr>
      <w:r>
        <w:rPr>
          <w:rFonts w:hint="eastAsia" w:ascii="宋体" w:hAnsi="宋体" w:cs="宋体"/>
          <w:szCs w:val="21"/>
          <w:highlight w:val="white"/>
        </w:rPr>
        <w:t>8.5.6招标采购单位在收到质疑函后，认为质疑函内容、格式等不符合本规定的，告知质疑人进行补正。质疑人应当在法定质疑期限内进行补正并重新提交质疑函，拒不补正或者超过法定期限后未重新提交质疑函的，为无效质疑。</w:t>
      </w:r>
    </w:p>
    <w:p>
      <w:pPr>
        <w:spacing w:line="360" w:lineRule="auto"/>
        <w:rPr>
          <w:rFonts w:ascii="宋体" w:hAnsi="宋体" w:cs="宋体"/>
          <w:szCs w:val="21"/>
        </w:rPr>
      </w:pPr>
      <w:r>
        <w:rPr>
          <w:rFonts w:hint="eastAsia" w:ascii="宋体" w:hAnsi="宋体" w:cs="宋体"/>
          <w:szCs w:val="21"/>
          <w:highlight w:val="white"/>
        </w:rPr>
        <w:t>8.5.7招标采购单位在收到投标人的书面质疑后七个工作日内作出答复，并以书面形式通知质疑投标人和其他有关人员，但答复的内容不涉及商业秘密。</w:t>
      </w:r>
    </w:p>
    <w:p>
      <w:pPr>
        <w:spacing w:line="360" w:lineRule="auto"/>
        <w:rPr>
          <w:rFonts w:ascii="宋体" w:hAnsi="宋体" w:cs="宋体"/>
          <w:b/>
          <w:szCs w:val="21"/>
          <w:u w:val="single"/>
        </w:rPr>
      </w:pPr>
      <w:r>
        <w:rPr>
          <w:rFonts w:hint="eastAsia" w:ascii="宋体" w:hAnsi="宋体" w:cs="宋体"/>
          <w:b/>
          <w:szCs w:val="21"/>
          <w:highlight w:val="white"/>
          <w:u w:val="single"/>
        </w:rPr>
        <w:t>8.5.8对不符合质疑投诉条件及虚假、恶意质疑投诉、举报将予以驳回，并记录诚信管理档案，降低诚信等级。</w:t>
      </w:r>
    </w:p>
    <w:p>
      <w:pPr>
        <w:pStyle w:val="463"/>
        <w:ind w:firstLine="420"/>
        <w:rPr>
          <w:rFonts w:cs="宋体"/>
          <w:sz w:val="21"/>
          <w:szCs w:val="21"/>
        </w:rPr>
      </w:pPr>
    </w:p>
    <w:p>
      <w:pPr>
        <w:pStyle w:val="5"/>
        <w:snapToGrid w:val="0"/>
        <w:spacing w:before="0" w:after="0" w:line="360" w:lineRule="auto"/>
        <w:rPr>
          <w:rFonts w:ascii="宋体" w:hAnsi="宋体" w:cs="宋体"/>
        </w:rPr>
      </w:pPr>
      <w:bookmarkStart w:id="131" w:name="_Toc28238"/>
      <w:bookmarkStart w:id="132" w:name="_Toc32680"/>
      <w:bookmarkStart w:id="133" w:name="_Toc40699928"/>
      <w:bookmarkStart w:id="134" w:name="_Toc18267"/>
      <w:bookmarkStart w:id="135" w:name="_Toc29181"/>
      <w:bookmarkStart w:id="136" w:name="_Toc16846"/>
      <w:bookmarkStart w:id="137" w:name="_Toc12206"/>
      <w:r>
        <w:rPr>
          <w:rFonts w:hint="eastAsia" w:ascii="宋体" w:hAnsi="宋体" w:cs="宋体"/>
        </w:rPr>
        <w:t>9.是否采用电子招标投标</w:t>
      </w:r>
      <w:bookmarkEnd w:id="131"/>
      <w:bookmarkEnd w:id="132"/>
      <w:bookmarkEnd w:id="133"/>
      <w:bookmarkEnd w:id="134"/>
      <w:bookmarkEnd w:id="135"/>
      <w:bookmarkEnd w:id="136"/>
      <w:bookmarkEnd w:id="137"/>
    </w:p>
    <w:p>
      <w:pPr>
        <w:snapToGrid w:val="0"/>
        <w:spacing w:line="360" w:lineRule="auto"/>
        <w:rPr>
          <w:rFonts w:ascii="宋体" w:hAnsi="宋体" w:cs="宋体"/>
          <w:kern w:val="0"/>
        </w:rPr>
      </w:pPr>
      <w:r>
        <w:rPr>
          <w:rFonts w:hint="eastAsia" w:ascii="宋体" w:hAnsi="宋体" w:cs="宋体"/>
          <w:kern w:val="0"/>
        </w:rPr>
        <w:t>本招标项目是否采用电子招标投标方式，见投标人须知前附表。</w:t>
      </w:r>
    </w:p>
    <w:p>
      <w:pPr>
        <w:pStyle w:val="5"/>
        <w:snapToGrid w:val="0"/>
        <w:spacing w:before="0" w:after="0" w:line="360" w:lineRule="auto"/>
        <w:rPr>
          <w:rFonts w:ascii="宋体" w:hAnsi="宋体" w:cs="宋体"/>
        </w:rPr>
      </w:pPr>
      <w:bookmarkStart w:id="138" w:name="_Toc40699929"/>
      <w:bookmarkStart w:id="139" w:name="_Toc15398"/>
      <w:bookmarkStart w:id="140" w:name="_Toc12378"/>
      <w:bookmarkStart w:id="141" w:name="_Toc22527"/>
      <w:bookmarkStart w:id="142" w:name="_Toc12612"/>
      <w:bookmarkStart w:id="143" w:name="_Toc31109"/>
      <w:bookmarkStart w:id="144" w:name="_Toc19541"/>
      <w:r>
        <w:rPr>
          <w:rFonts w:hint="eastAsia" w:ascii="宋体" w:hAnsi="宋体" w:cs="宋体"/>
        </w:rPr>
        <w:t>10.需要补充的其他内容</w:t>
      </w:r>
      <w:bookmarkEnd w:id="138"/>
      <w:bookmarkEnd w:id="139"/>
      <w:bookmarkEnd w:id="140"/>
      <w:bookmarkEnd w:id="141"/>
      <w:bookmarkEnd w:id="142"/>
      <w:bookmarkEnd w:id="143"/>
      <w:bookmarkEnd w:id="144"/>
    </w:p>
    <w:p>
      <w:pPr>
        <w:snapToGrid w:val="0"/>
        <w:spacing w:line="360" w:lineRule="auto"/>
        <w:rPr>
          <w:rFonts w:ascii="宋体" w:hAnsi="宋体" w:cs="宋体"/>
          <w:kern w:val="0"/>
        </w:rPr>
      </w:pPr>
      <w:r>
        <w:rPr>
          <w:rFonts w:hint="eastAsia" w:ascii="宋体" w:hAnsi="宋体" w:cs="宋体"/>
          <w:kern w:val="0"/>
        </w:rPr>
        <w:t>需要补充的其他内容：见投标人须知前附表。</w:t>
      </w:r>
    </w:p>
    <w:p>
      <w:pPr>
        <w:pStyle w:val="52"/>
        <w:spacing w:before="0" w:after="0" w:line="360" w:lineRule="auto"/>
        <w:rPr>
          <w:rFonts w:ascii="宋体" w:hAnsi="宋体" w:eastAsia="宋体" w:cs="宋体"/>
          <w:sz w:val="24"/>
        </w:rPr>
      </w:pPr>
      <w:r>
        <w:rPr>
          <w:rFonts w:hint="eastAsia" w:ascii="宋体" w:hAnsi="宋体" w:eastAsia="宋体" w:cs="宋体"/>
          <w:bCs/>
          <w:sz w:val="24"/>
        </w:rPr>
        <w:br w:type="page"/>
      </w:r>
      <w:bookmarkStart w:id="145" w:name="_Toc4357"/>
      <w:r>
        <w:rPr>
          <w:rFonts w:hint="eastAsia" w:ascii="宋体" w:hAnsi="宋体" w:eastAsia="宋体" w:cs="Times New Roman"/>
          <w:snapToGrid w:val="0"/>
          <w:kern w:val="0"/>
          <w:sz w:val="44"/>
          <w:szCs w:val="20"/>
        </w:rPr>
        <w:t>第三章 项目需求</w:t>
      </w:r>
      <w:bookmarkEnd w:id="145"/>
      <w:bookmarkStart w:id="146" w:name="_Toc182848996"/>
      <w:bookmarkStart w:id="147" w:name="_Toc38121794"/>
      <w:bookmarkStart w:id="148" w:name="_Toc85627670"/>
      <w:bookmarkStart w:id="149" w:name="_Toc37322565"/>
      <w:bookmarkStart w:id="150" w:name="_Toc43217893"/>
    </w:p>
    <w:p>
      <w:pPr>
        <w:pStyle w:val="5"/>
        <w:spacing w:before="0" w:after="0" w:line="360" w:lineRule="auto"/>
        <w:rPr>
          <w:rFonts w:ascii="宋体" w:hAnsi="宋体" w:eastAsia="宋体" w:cs="宋体"/>
          <w:b/>
          <w:sz w:val="24"/>
          <w:szCs w:val="24"/>
        </w:rPr>
      </w:pPr>
      <w:bookmarkStart w:id="151" w:name="_Toc21210"/>
      <w:bookmarkStart w:id="152" w:name="_Toc3712"/>
      <w:r>
        <w:rPr>
          <w:rFonts w:hint="eastAsia" w:ascii="宋体" w:hAnsi="宋体" w:eastAsia="宋体" w:cs="宋体"/>
          <w:b/>
          <w:sz w:val="24"/>
          <w:szCs w:val="24"/>
          <w:lang w:val="en-US"/>
        </w:rPr>
        <w:t>1</w:t>
      </w:r>
      <w:r>
        <w:rPr>
          <w:rFonts w:hint="eastAsia" w:ascii="宋体" w:hAnsi="宋体" w:eastAsia="宋体" w:cs="宋体"/>
          <w:b/>
          <w:sz w:val="24"/>
          <w:szCs w:val="24"/>
        </w:rPr>
        <w:t>项目情况</w:t>
      </w:r>
      <w:bookmarkEnd w:id="151"/>
      <w:bookmarkEnd w:id="152"/>
    </w:p>
    <w:p>
      <w:pPr>
        <w:spacing w:line="360" w:lineRule="auto"/>
        <w:ind w:firstLine="480" w:firstLineChars="200"/>
        <w:rPr>
          <w:rFonts w:ascii="宋体" w:hAnsi="宋体" w:cs="宋体"/>
          <w:sz w:val="24"/>
          <w:szCs w:val="24"/>
        </w:rPr>
      </w:pPr>
      <w:r>
        <w:rPr>
          <w:rFonts w:hint="eastAsia" w:ascii="宋体" w:hAnsi="宋体" w:cs="宋体"/>
          <w:sz w:val="24"/>
          <w:szCs w:val="24"/>
        </w:rPr>
        <w:t>2021年1月13日，以“凝心聚力 逐梦前行”为主题的扬州华侨城梦幻之城品牌发布会在扬州举行。华侨城梦幻之城占地15万平方米，是集IP体验、游乐设施、家庭游乐、亲子互动、文化体验、主题演艺和创意餐饮于一体的文化旅游综合体，按照不同年龄群体的休闲文化偏好划分为“梦幻时光、运河天地、童趣乐园”三大主体游乐区，包含35套游乐设备，每天30场精彩演艺，构筑传统文化与现代科技结合的欢乐潮流地。</w:t>
      </w:r>
    </w:p>
    <w:p>
      <w:pPr>
        <w:spacing w:line="360" w:lineRule="auto"/>
        <w:ind w:firstLine="480" w:firstLineChars="200"/>
        <w:rPr>
          <w:rFonts w:ascii="宋体" w:hAnsi="宋体" w:cs="宋体"/>
          <w:sz w:val="24"/>
          <w:szCs w:val="24"/>
        </w:rPr>
      </w:pPr>
      <w:r>
        <w:rPr>
          <w:rFonts w:hint="eastAsia" w:ascii="宋体" w:hAnsi="宋体" w:cs="宋体"/>
          <w:sz w:val="24"/>
          <w:szCs w:val="24"/>
        </w:rPr>
        <w:t>作为扬州文旅产业的标杆之作，梦幻之城不仅承载着扬州历史文化，也为扬州带来全新的商业+娱乐+文化+旅游+生态的文旅产品。</w:t>
      </w:r>
    </w:p>
    <w:p>
      <w:pPr>
        <w:spacing w:line="360" w:lineRule="auto"/>
        <w:ind w:firstLine="420"/>
        <w:rPr>
          <w:rFonts w:ascii="宋体" w:hAnsi="宋体" w:cs="宋体"/>
          <w:sz w:val="24"/>
          <w:szCs w:val="24"/>
        </w:rPr>
      </w:pPr>
      <w:r>
        <w:rPr>
          <w:rFonts w:hint="eastAsia" w:ascii="宋体" w:hAnsi="宋体" w:cs="宋体"/>
          <w:sz w:val="24"/>
          <w:szCs w:val="24"/>
        </w:rPr>
        <w:t>为了配合华侨城打造智慧景区生态空间，扬州市民卡公司承接了扬州华侨城梦幻之旅景区的电子票务管理系统的建设工作。系统建成后，用户可以通过我的扬州APP、小程序、公众号、H5多种便捷的途径进行购票，网上购票后可以无需排队领票或取票，直接凭手机二维码即可在闸机刷码验票入园。</w:t>
      </w:r>
    </w:p>
    <w:p>
      <w:pPr>
        <w:pStyle w:val="5"/>
        <w:spacing w:before="0" w:after="0" w:line="360" w:lineRule="auto"/>
        <w:rPr>
          <w:rFonts w:ascii="宋体" w:hAnsi="宋体" w:eastAsia="宋体" w:cs="宋体"/>
          <w:b/>
          <w:sz w:val="24"/>
          <w:szCs w:val="24"/>
        </w:rPr>
      </w:pPr>
      <w:bookmarkStart w:id="153" w:name="_Toc5439"/>
      <w:bookmarkStart w:id="154" w:name="_Toc4187"/>
      <w:r>
        <w:rPr>
          <w:rFonts w:hint="eastAsia" w:ascii="宋体" w:hAnsi="宋体" w:eastAsia="宋体" w:cs="宋体"/>
          <w:b/>
          <w:sz w:val="24"/>
          <w:szCs w:val="24"/>
          <w:lang w:val="en-US"/>
        </w:rPr>
        <w:t>2</w:t>
      </w:r>
      <w:r>
        <w:rPr>
          <w:rFonts w:hint="eastAsia" w:ascii="宋体" w:hAnsi="宋体" w:eastAsia="宋体" w:cs="宋体"/>
          <w:b/>
          <w:sz w:val="24"/>
          <w:szCs w:val="24"/>
        </w:rPr>
        <w:t>项目需求</w:t>
      </w:r>
      <w:bookmarkEnd w:id="153"/>
      <w:bookmarkEnd w:id="154"/>
    </w:p>
    <w:p>
      <w:pPr>
        <w:pStyle w:val="6"/>
        <w:spacing w:before="0" w:after="0" w:line="360" w:lineRule="auto"/>
        <w:ind w:firstLine="482" w:firstLineChars="200"/>
        <w:rPr>
          <w:rFonts w:ascii="宋体" w:hAnsi="宋体" w:cs="宋体"/>
          <w:sz w:val="24"/>
          <w:szCs w:val="24"/>
        </w:rPr>
      </w:pPr>
      <w:bookmarkStart w:id="155" w:name="_Toc23"/>
      <w:bookmarkStart w:id="156" w:name="_Toc1268"/>
      <w:r>
        <w:rPr>
          <w:rFonts w:hint="eastAsia" w:ascii="宋体" w:hAnsi="宋体" w:cs="宋体"/>
          <w:sz w:val="24"/>
          <w:szCs w:val="24"/>
          <w:lang w:val="en-US"/>
        </w:rPr>
        <w:t>2.1</w:t>
      </w:r>
      <w:r>
        <w:rPr>
          <w:rFonts w:hint="eastAsia" w:ascii="宋体" w:hAnsi="宋体" w:cs="宋体"/>
          <w:sz w:val="24"/>
          <w:szCs w:val="24"/>
        </w:rPr>
        <w:t>线上售票平台</w:t>
      </w:r>
      <w:bookmarkEnd w:id="155"/>
      <w:bookmarkEnd w:id="156"/>
    </w:p>
    <w:p>
      <w:pPr>
        <w:pStyle w:val="7"/>
        <w:spacing w:before="0" w:after="0" w:line="360" w:lineRule="auto"/>
        <w:rPr>
          <w:rFonts w:ascii="宋体" w:hAnsi="宋体" w:eastAsia="宋体" w:cs="宋体"/>
          <w:sz w:val="24"/>
          <w:szCs w:val="24"/>
          <w:lang w:val="en-US"/>
        </w:rPr>
      </w:pPr>
      <w:r>
        <w:rPr>
          <w:rFonts w:hint="eastAsia" w:ascii="宋体" w:hAnsi="宋体" w:eastAsia="宋体" w:cs="宋体"/>
          <w:sz w:val="24"/>
          <w:szCs w:val="24"/>
          <w:lang w:val="en-US"/>
        </w:rPr>
        <w:t>2.1.1微信公众号</w:t>
      </w:r>
    </w:p>
    <w:p>
      <w:pPr>
        <w:spacing w:line="360" w:lineRule="auto"/>
        <w:rPr>
          <w:rFonts w:ascii="宋体" w:hAnsi="宋体" w:cs="宋体"/>
          <w:sz w:val="24"/>
          <w:szCs w:val="24"/>
        </w:rPr>
      </w:pPr>
      <w:r>
        <w:rPr>
          <w:rFonts w:hint="eastAsia" w:ascii="宋体" w:hAnsi="宋体" w:cs="宋体"/>
          <w:sz w:val="24"/>
          <w:szCs w:val="24"/>
        </w:rPr>
        <w:t xml:space="preserve">     支持在微信公众号上进行商品查看、商品购买、商品支付及后续订单查询、退票等功能。</w:t>
      </w:r>
    </w:p>
    <w:p>
      <w:pPr>
        <w:pStyle w:val="7"/>
        <w:spacing w:before="0" w:after="0" w:line="360" w:lineRule="auto"/>
        <w:rPr>
          <w:rFonts w:ascii="宋体" w:hAnsi="宋体" w:eastAsia="宋体" w:cs="宋体"/>
          <w:sz w:val="24"/>
          <w:szCs w:val="24"/>
          <w:lang w:val="en-US"/>
        </w:rPr>
      </w:pPr>
      <w:r>
        <w:rPr>
          <w:rFonts w:hint="eastAsia" w:ascii="宋体" w:hAnsi="宋体" w:eastAsia="宋体" w:cs="宋体"/>
          <w:sz w:val="24"/>
          <w:szCs w:val="24"/>
          <w:lang w:val="en-US"/>
        </w:rPr>
        <w:t>2.1.2微信小程序售票</w:t>
      </w:r>
    </w:p>
    <w:p>
      <w:pPr>
        <w:spacing w:line="360" w:lineRule="auto"/>
        <w:rPr>
          <w:rFonts w:ascii="宋体" w:hAnsi="宋体" w:cs="宋体"/>
          <w:sz w:val="24"/>
          <w:szCs w:val="24"/>
        </w:rPr>
      </w:pPr>
      <w:r>
        <w:rPr>
          <w:rFonts w:hint="eastAsia" w:ascii="宋体" w:hAnsi="宋体" w:cs="宋体"/>
          <w:sz w:val="24"/>
          <w:szCs w:val="24"/>
        </w:rPr>
        <w:t xml:space="preserve">     支持小程序实现商品查看、商品购买、商品支付及后续订单查询、退票等功能，支持输出给第三方使用。</w:t>
      </w:r>
    </w:p>
    <w:p>
      <w:pPr>
        <w:pStyle w:val="7"/>
        <w:spacing w:before="0" w:after="0" w:line="360" w:lineRule="auto"/>
        <w:rPr>
          <w:rFonts w:ascii="宋体" w:hAnsi="宋体" w:eastAsia="宋体" w:cs="宋体"/>
          <w:sz w:val="24"/>
          <w:szCs w:val="24"/>
          <w:lang w:val="en-US"/>
        </w:rPr>
      </w:pPr>
      <w:bookmarkStart w:id="157" w:name="_Toc82504477"/>
      <w:r>
        <w:rPr>
          <w:rFonts w:hint="eastAsia" w:ascii="宋体" w:hAnsi="宋体" w:eastAsia="宋体" w:cs="宋体"/>
          <w:sz w:val="24"/>
          <w:szCs w:val="24"/>
          <w:lang w:val="en-US"/>
        </w:rPr>
        <w:t>2.1.3我的扬州APP售票</w:t>
      </w:r>
    </w:p>
    <w:p>
      <w:pPr>
        <w:spacing w:line="360" w:lineRule="auto"/>
        <w:rPr>
          <w:rFonts w:ascii="宋体" w:hAnsi="宋体" w:cs="宋体"/>
          <w:sz w:val="24"/>
          <w:szCs w:val="24"/>
        </w:rPr>
      </w:pPr>
      <w:r>
        <w:rPr>
          <w:rFonts w:hint="eastAsia" w:ascii="宋体" w:hAnsi="宋体" w:cs="宋体"/>
          <w:sz w:val="24"/>
          <w:szCs w:val="24"/>
        </w:rPr>
        <w:t xml:space="preserve">    支持对接我的扬州APP，在我的扬州APP内实现商品查看、商品购买、商品支付及后续订单查询、退票等功能。</w:t>
      </w:r>
    </w:p>
    <w:p>
      <w:pPr>
        <w:pStyle w:val="7"/>
        <w:spacing w:before="0" w:after="0" w:line="360" w:lineRule="auto"/>
        <w:rPr>
          <w:rFonts w:ascii="宋体" w:hAnsi="宋体" w:eastAsia="宋体" w:cs="宋体"/>
          <w:sz w:val="24"/>
          <w:szCs w:val="24"/>
          <w:lang w:val="en-US"/>
        </w:rPr>
      </w:pPr>
      <w:r>
        <w:rPr>
          <w:rFonts w:hint="eastAsia" w:ascii="宋体" w:hAnsi="宋体" w:eastAsia="宋体" w:cs="宋体"/>
          <w:sz w:val="24"/>
          <w:szCs w:val="24"/>
          <w:lang w:val="en-US"/>
        </w:rPr>
        <w:t>2.1.4 H5功能输出</w:t>
      </w:r>
    </w:p>
    <w:p>
      <w:pPr>
        <w:spacing w:line="360" w:lineRule="auto"/>
        <w:rPr>
          <w:rFonts w:ascii="宋体" w:hAnsi="宋体" w:cs="宋体"/>
          <w:sz w:val="24"/>
          <w:szCs w:val="24"/>
        </w:rPr>
      </w:pPr>
      <w:r>
        <w:rPr>
          <w:rFonts w:hint="eastAsia" w:ascii="宋体" w:hAnsi="宋体" w:cs="宋体"/>
          <w:sz w:val="24"/>
          <w:szCs w:val="24"/>
        </w:rPr>
        <w:t xml:space="preserve">      支持打开H5页面购票，并支持在第三方平台输出使用。</w:t>
      </w:r>
    </w:p>
    <w:p>
      <w:pPr>
        <w:pStyle w:val="6"/>
        <w:spacing w:before="0" w:after="0" w:line="360" w:lineRule="auto"/>
        <w:rPr>
          <w:rFonts w:ascii="宋体" w:hAnsi="宋体" w:cs="宋体"/>
          <w:sz w:val="24"/>
          <w:szCs w:val="24"/>
          <w:lang w:val="en-US"/>
        </w:rPr>
      </w:pPr>
      <w:bookmarkStart w:id="158" w:name="_Toc25705"/>
      <w:bookmarkStart w:id="159" w:name="_Toc32540"/>
      <w:r>
        <w:rPr>
          <w:rFonts w:hint="eastAsia" w:ascii="宋体" w:hAnsi="宋体" w:cs="宋体"/>
          <w:sz w:val="24"/>
          <w:szCs w:val="24"/>
          <w:lang w:val="en-US"/>
        </w:rPr>
        <w:t>2.2售票管理平台</w:t>
      </w:r>
      <w:bookmarkEnd w:id="158"/>
      <w:bookmarkEnd w:id="159"/>
    </w:p>
    <w:p>
      <w:pPr>
        <w:spacing w:line="360" w:lineRule="auto"/>
        <w:rPr>
          <w:rFonts w:ascii="宋体" w:hAnsi="宋体" w:cs="宋体"/>
          <w:sz w:val="24"/>
          <w:szCs w:val="24"/>
          <w:lang w:val="zh-CN"/>
        </w:rPr>
      </w:pPr>
      <w:r>
        <w:rPr>
          <w:rFonts w:hint="eastAsia" w:ascii="宋体" w:hAnsi="宋体" w:cs="宋体"/>
          <w:sz w:val="24"/>
          <w:szCs w:val="24"/>
          <w:lang w:val="zh-CN"/>
        </w:rPr>
        <w:t xml:space="preserve">    </w:t>
      </w:r>
      <w:r>
        <w:rPr>
          <w:rFonts w:hint="eastAsia" w:ascii="宋体" w:hAnsi="宋体" w:cs="宋体"/>
          <w:sz w:val="24"/>
          <w:szCs w:val="24"/>
        </w:rPr>
        <w:t>售票管理平台实现对用户订单的统计查看，实现对售票信息汇总的报表查看。具体包括：</w:t>
      </w:r>
      <w:bookmarkEnd w:id="157"/>
    </w:p>
    <w:p>
      <w:pPr>
        <w:spacing w:line="360" w:lineRule="auto"/>
        <w:rPr>
          <w:rFonts w:ascii="宋体" w:hAnsi="宋体" w:cs="宋体"/>
          <w:sz w:val="24"/>
          <w:szCs w:val="24"/>
        </w:rPr>
      </w:pPr>
      <w:r>
        <w:rPr>
          <w:rFonts w:hint="eastAsia" w:ascii="宋体" w:hAnsi="宋体" w:cs="宋体"/>
          <w:sz w:val="24"/>
          <w:szCs w:val="24"/>
        </w:rPr>
        <w:t>（1）订单统计：根据产品类型、手机号、订单号、身份证号、下单时间、入园时间、订单状态等多个维度查询售票订单情况。</w:t>
      </w:r>
    </w:p>
    <w:p>
      <w:pPr>
        <w:spacing w:line="360" w:lineRule="auto"/>
        <w:rPr>
          <w:rFonts w:ascii="宋体" w:hAnsi="宋体" w:cs="宋体"/>
          <w:sz w:val="24"/>
          <w:szCs w:val="24"/>
        </w:rPr>
      </w:pPr>
      <w:r>
        <w:rPr>
          <w:rFonts w:hint="eastAsia" w:ascii="宋体" w:hAnsi="宋体" w:cs="宋体"/>
          <w:sz w:val="24"/>
          <w:szCs w:val="24"/>
        </w:rPr>
        <w:t>（2）销售汇总报表：按日统计不同商品的销售数据。</w:t>
      </w:r>
    </w:p>
    <w:p>
      <w:pPr>
        <w:spacing w:line="360" w:lineRule="auto"/>
        <w:rPr>
          <w:rFonts w:ascii="宋体" w:hAnsi="宋体" w:cs="宋体"/>
          <w:sz w:val="24"/>
          <w:szCs w:val="24"/>
        </w:rPr>
      </w:pPr>
      <w:r>
        <w:rPr>
          <w:rFonts w:hint="eastAsia" w:ascii="宋体" w:hAnsi="宋体" w:cs="宋体"/>
          <w:sz w:val="24"/>
          <w:szCs w:val="24"/>
        </w:rPr>
        <w:t>（3）订单管理：后台管理人员可查询用户订单信息，可进行退款操作。</w:t>
      </w:r>
    </w:p>
    <w:p>
      <w:pPr>
        <w:pStyle w:val="6"/>
        <w:spacing w:before="0" w:after="0" w:line="360" w:lineRule="auto"/>
        <w:rPr>
          <w:rFonts w:ascii="宋体" w:hAnsi="宋体" w:cs="宋体"/>
          <w:sz w:val="24"/>
          <w:szCs w:val="24"/>
          <w:lang w:val="en-US"/>
        </w:rPr>
      </w:pPr>
      <w:bookmarkStart w:id="160" w:name="_Toc8850"/>
      <w:bookmarkStart w:id="161" w:name="_Toc11004"/>
      <w:r>
        <w:rPr>
          <w:rFonts w:hint="eastAsia" w:ascii="宋体" w:hAnsi="宋体" w:cs="宋体"/>
          <w:sz w:val="24"/>
          <w:szCs w:val="24"/>
          <w:lang w:val="en-US"/>
        </w:rPr>
        <w:t>2.3第三方接口对接</w:t>
      </w:r>
      <w:bookmarkEnd w:id="160"/>
      <w:bookmarkEnd w:id="161"/>
    </w:p>
    <w:p>
      <w:pPr>
        <w:pStyle w:val="7"/>
        <w:spacing w:before="0" w:after="0" w:line="360" w:lineRule="auto"/>
        <w:rPr>
          <w:rFonts w:ascii="宋体" w:hAnsi="宋体" w:eastAsia="宋体" w:cs="宋体"/>
          <w:sz w:val="24"/>
          <w:szCs w:val="24"/>
        </w:rPr>
      </w:pPr>
      <w:r>
        <w:rPr>
          <w:rFonts w:hint="eastAsia" w:ascii="宋体" w:hAnsi="宋体" w:eastAsia="宋体" w:cs="宋体"/>
          <w:sz w:val="24"/>
          <w:szCs w:val="24"/>
          <w:lang w:val="en-US"/>
        </w:rPr>
        <w:t>2.3.1</w:t>
      </w:r>
      <w:r>
        <w:rPr>
          <w:rFonts w:hint="eastAsia" w:ascii="宋体" w:hAnsi="宋体" w:eastAsia="宋体" w:cs="宋体"/>
          <w:sz w:val="24"/>
          <w:szCs w:val="24"/>
        </w:rPr>
        <w:t>对接景区OTA系统</w:t>
      </w:r>
    </w:p>
    <w:p>
      <w:pPr>
        <w:spacing w:line="360" w:lineRule="auto"/>
        <w:ind w:firstLine="420"/>
        <w:rPr>
          <w:rFonts w:ascii="宋体" w:hAnsi="宋体" w:cs="宋体"/>
          <w:sz w:val="24"/>
          <w:szCs w:val="24"/>
        </w:rPr>
      </w:pPr>
      <w:r>
        <w:rPr>
          <w:rFonts w:hint="eastAsia" w:ascii="宋体" w:hAnsi="宋体" w:cs="宋体"/>
          <w:sz w:val="24"/>
          <w:szCs w:val="24"/>
        </w:rPr>
        <w:t>（1）商品查询：合作景点查询、景点商品查询，商品详情查询（商品区分：门票，套餐，消费券，电子年卡，场馆）、获取商品价格日历。</w:t>
      </w:r>
    </w:p>
    <w:p>
      <w:pPr>
        <w:spacing w:line="360" w:lineRule="auto"/>
        <w:ind w:firstLine="420"/>
        <w:rPr>
          <w:rFonts w:ascii="宋体" w:hAnsi="宋体" w:cs="宋体"/>
          <w:sz w:val="24"/>
          <w:szCs w:val="24"/>
        </w:rPr>
      </w:pPr>
      <w:r>
        <w:rPr>
          <w:rFonts w:hint="eastAsia" w:ascii="宋体" w:hAnsi="宋体" w:cs="宋体"/>
          <w:sz w:val="24"/>
          <w:szCs w:val="24"/>
        </w:rPr>
        <w:t>（2）下单：订单预校验、创建订单、订单详情查询、订单退订，订单退订查询。</w:t>
      </w:r>
    </w:p>
    <w:p>
      <w:pPr>
        <w:spacing w:line="360" w:lineRule="auto"/>
        <w:ind w:firstLine="420"/>
        <w:rPr>
          <w:rFonts w:ascii="宋体" w:hAnsi="宋体" w:cs="宋体"/>
          <w:sz w:val="24"/>
          <w:szCs w:val="24"/>
        </w:rPr>
      </w:pPr>
      <w:r>
        <w:rPr>
          <w:rFonts w:hint="eastAsia" w:ascii="宋体" w:hAnsi="宋体" w:cs="宋体"/>
          <w:sz w:val="24"/>
          <w:szCs w:val="24"/>
        </w:rPr>
        <w:t>（3）通知：订单创建成功通知，订单退订成功通知，凭证核销通知。</w:t>
      </w:r>
    </w:p>
    <w:p>
      <w:pPr>
        <w:pStyle w:val="7"/>
        <w:spacing w:before="0" w:after="0" w:line="360" w:lineRule="auto"/>
        <w:rPr>
          <w:rFonts w:ascii="宋体" w:hAnsi="宋体" w:eastAsia="宋体" w:cs="宋体"/>
          <w:sz w:val="24"/>
          <w:szCs w:val="24"/>
          <w:lang w:val="en-US"/>
        </w:rPr>
      </w:pPr>
      <w:r>
        <w:rPr>
          <w:rFonts w:hint="eastAsia" w:ascii="宋体" w:hAnsi="宋体" w:eastAsia="宋体" w:cs="宋体"/>
          <w:sz w:val="24"/>
          <w:szCs w:val="24"/>
          <w:lang w:val="en-US"/>
        </w:rPr>
        <w:t>2.3.2 短信通道对接</w:t>
      </w:r>
    </w:p>
    <w:p>
      <w:pPr>
        <w:spacing w:line="360" w:lineRule="auto"/>
        <w:rPr>
          <w:rFonts w:ascii="宋体" w:hAnsi="宋体" w:cs="宋体"/>
          <w:sz w:val="24"/>
          <w:szCs w:val="24"/>
        </w:rPr>
      </w:pPr>
      <w:r>
        <w:rPr>
          <w:rFonts w:hint="eastAsia" w:ascii="宋体" w:hAnsi="宋体" w:cs="宋体"/>
          <w:sz w:val="24"/>
          <w:szCs w:val="24"/>
        </w:rPr>
        <w:t xml:space="preserve">     支持用户购票成功后，下发提醒信息。</w:t>
      </w:r>
    </w:p>
    <w:p>
      <w:pPr>
        <w:pStyle w:val="7"/>
        <w:spacing w:before="0" w:after="0" w:line="360" w:lineRule="auto"/>
        <w:rPr>
          <w:rFonts w:ascii="宋体" w:hAnsi="宋体" w:eastAsia="宋体" w:cs="宋体"/>
          <w:sz w:val="24"/>
          <w:szCs w:val="24"/>
          <w:lang w:val="en-US"/>
        </w:rPr>
      </w:pPr>
      <w:r>
        <w:rPr>
          <w:rFonts w:hint="eastAsia" w:ascii="宋体" w:hAnsi="宋体" w:eastAsia="宋体" w:cs="宋体"/>
          <w:sz w:val="24"/>
          <w:szCs w:val="24"/>
          <w:lang w:val="en-US"/>
        </w:rPr>
        <w:t>2.3.3 电子发票对接</w:t>
      </w:r>
    </w:p>
    <w:p>
      <w:pPr>
        <w:spacing w:line="360" w:lineRule="auto"/>
        <w:rPr>
          <w:rFonts w:ascii="宋体" w:hAnsi="宋体" w:cs="宋体"/>
          <w:sz w:val="24"/>
          <w:szCs w:val="24"/>
        </w:rPr>
      </w:pPr>
      <w:r>
        <w:rPr>
          <w:rFonts w:hint="eastAsia" w:ascii="宋体" w:hAnsi="宋体" w:cs="宋体"/>
          <w:sz w:val="24"/>
          <w:szCs w:val="24"/>
        </w:rPr>
        <w:t xml:space="preserve">     支持订单查询、是否开具发票查询，方便第三方系统根据系统订单开具电子发票，如果已开票无法取消订单。</w:t>
      </w:r>
    </w:p>
    <w:p>
      <w:pPr>
        <w:pStyle w:val="5"/>
        <w:spacing w:before="0" w:after="0" w:line="360" w:lineRule="auto"/>
        <w:rPr>
          <w:rFonts w:ascii="宋体" w:hAnsi="宋体" w:eastAsia="宋体" w:cs="宋体"/>
          <w:b/>
          <w:bCs w:val="0"/>
          <w:sz w:val="24"/>
          <w:szCs w:val="24"/>
        </w:rPr>
      </w:pPr>
      <w:bookmarkStart w:id="162" w:name="_Toc71967470"/>
      <w:bookmarkStart w:id="163" w:name="_Toc21929"/>
      <w:bookmarkStart w:id="164" w:name="_Toc13762"/>
      <w:r>
        <w:rPr>
          <w:rFonts w:hint="eastAsia" w:ascii="宋体" w:hAnsi="宋体" w:eastAsia="宋体" w:cs="宋体"/>
          <w:b/>
          <w:bCs w:val="0"/>
          <w:sz w:val="24"/>
          <w:szCs w:val="24"/>
          <w:lang w:val="en-US"/>
        </w:rPr>
        <w:t>3</w:t>
      </w:r>
      <w:r>
        <w:rPr>
          <w:rFonts w:hint="eastAsia" w:ascii="宋体" w:hAnsi="宋体" w:eastAsia="宋体" w:cs="宋体"/>
          <w:b/>
          <w:bCs w:val="0"/>
          <w:sz w:val="24"/>
          <w:szCs w:val="24"/>
        </w:rPr>
        <w:t>建设原则</w:t>
      </w:r>
      <w:bookmarkEnd w:id="162"/>
      <w:bookmarkEnd w:id="163"/>
      <w:bookmarkEnd w:id="164"/>
    </w:p>
    <w:p>
      <w:pPr>
        <w:spacing w:line="360" w:lineRule="auto"/>
        <w:ind w:firstLine="480" w:firstLineChars="200"/>
        <w:rPr>
          <w:rFonts w:ascii="宋体" w:hAnsi="宋体" w:cs="宋体"/>
          <w:sz w:val="24"/>
          <w:szCs w:val="24"/>
        </w:rPr>
      </w:pPr>
      <w:r>
        <w:rPr>
          <w:rFonts w:hint="eastAsia" w:ascii="宋体" w:hAnsi="宋体" w:cs="宋体"/>
          <w:sz w:val="24"/>
          <w:szCs w:val="24"/>
        </w:rPr>
        <w:t>在建设华侨城梦幻之城售票平台时，既要考虑到目前系统的现状，又要考虑到开始售票后购票数量的剧增、应用的扩展、数据结构的变动、业务流程的优化等多种因素，保障将来给售票业务提供更深层次的应用的灵活性与扩展性，以满足市民卡发展的需求。为此提出以下设计原则：</w:t>
      </w:r>
    </w:p>
    <w:p>
      <w:pPr>
        <w:pStyle w:val="6"/>
        <w:spacing w:before="0" w:after="0" w:line="360" w:lineRule="auto"/>
        <w:rPr>
          <w:rFonts w:ascii="宋体" w:hAnsi="宋体" w:cs="宋体"/>
          <w:sz w:val="24"/>
          <w:szCs w:val="24"/>
          <w:lang w:val="en-US"/>
        </w:rPr>
      </w:pPr>
      <w:bookmarkStart w:id="165" w:name="_Toc71967472"/>
      <w:bookmarkStart w:id="166" w:name="_Toc9947"/>
      <w:bookmarkStart w:id="167" w:name="_Toc4590"/>
      <w:r>
        <w:rPr>
          <w:rFonts w:hint="eastAsia" w:ascii="宋体" w:hAnsi="宋体" w:cs="宋体"/>
          <w:sz w:val="24"/>
          <w:szCs w:val="24"/>
          <w:lang w:val="en-US"/>
        </w:rPr>
        <w:t>3.1高效性</w:t>
      </w:r>
      <w:bookmarkEnd w:id="165"/>
      <w:bookmarkEnd w:id="166"/>
      <w:bookmarkEnd w:id="167"/>
    </w:p>
    <w:p>
      <w:pPr>
        <w:spacing w:line="360" w:lineRule="auto"/>
        <w:ind w:firstLine="460" w:firstLineChars="192"/>
        <w:rPr>
          <w:rFonts w:ascii="宋体" w:hAnsi="宋体" w:cs="宋体"/>
          <w:sz w:val="24"/>
          <w:szCs w:val="24"/>
        </w:rPr>
      </w:pPr>
      <w:r>
        <w:rPr>
          <w:rFonts w:hint="eastAsia" w:ascii="宋体" w:hAnsi="宋体" w:cs="宋体"/>
          <w:sz w:val="24"/>
          <w:szCs w:val="24"/>
        </w:rPr>
        <w:t>设计合理的业务处理流程，采取必要的技术手段增强系统的处理能力，最大限度的发挥系统处理能力，确保系统对各类支付业务的高效处理；要根据业务处理的优先级次合理分配和利用资源。</w:t>
      </w:r>
    </w:p>
    <w:p>
      <w:pPr>
        <w:pStyle w:val="6"/>
        <w:spacing w:before="0" w:after="0" w:line="360" w:lineRule="auto"/>
        <w:rPr>
          <w:rFonts w:ascii="宋体" w:hAnsi="宋体" w:cs="宋体"/>
          <w:sz w:val="24"/>
          <w:szCs w:val="24"/>
        </w:rPr>
      </w:pPr>
      <w:bookmarkStart w:id="168" w:name="_Toc71967473"/>
      <w:bookmarkStart w:id="169" w:name="_Toc6738"/>
      <w:bookmarkStart w:id="170" w:name="_Toc20704"/>
      <w:r>
        <w:rPr>
          <w:rFonts w:hint="eastAsia" w:ascii="宋体" w:hAnsi="宋体" w:cs="宋体"/>
          <w:sz w:val="24"/>
          <w:szCs w:val="24"/>
          <w:lang w:val="en-US"/>
        </w:rPr>
        <w:t>3.2</w:t>
      </w:r>
      <w:r>
        <w:rPr>
          <w:rFonts w:hint="eastAsia" w:ascii="宋体" w:hAnsi="宋体" w:cs="宋体"/>
          <w:sz w:val="24"/>
          <w:szCs w:val="24"/>
        </w:rPr>
        <w:t>安全性</w:t>
      </w:r>
      <w:bookmarkEnd w:id="168"/>
      <w:bookmarkEnd w:id="169"/>
      <w:bookmarkEnd w:id="170"/>
    </w:p>
    <w:p>
      <w:pPr>
        <w:spacing w:line="360" w:lineRule="auto"/>
        <w:ind w:firstLine="460" w:firstLineChars="192"/>
        <w:rPr>
          <w:rFonts w:ascii="宋体" w:hAnsi="宋体" w:cs="宋体"/>
          <w:sz w:val="24"/>
          <w:szCs w:val="24"/>
        </w:rPr>
      </w:pPr>
      <w:r>
        <w:rPr>
          <w:rFonts w:hint="eastAsia" w:ascii="宋体" w:hAnsi="宋体" w:cs="宋体"/>
          <w:sz w:val="24"/>
          <w:szCs w:val="24"/>
        </w:rPr>
        <w:t>设计和制定完备的防范措施，确保系统的安全稳定运行。要针对支付业务，采取必要的技术手段防范系统运行风险，建设安全、健壮的在线售票系统。</w:t>
      </w:r>
    </w:p>
    <w:p>
      <w:pPr>
        <w:pStyle w:val="6"/>
        <w:spacing w:before="0" w:after="0" w:line="360" w:lineRule="auto"/>
        <w:rPr>
          <w:rFonts w:ascii="宋体" w:hAnsi="宋体" w:cs="宋体"/>
          <w:sz w:val="24"/>
          <w:szCs w:val="24"/>
        </w:rPr>
      </w:pPr>
      <w:bookmarkStart w:id="171" w:name="_Toc71967474"/>
      <w:bookmarkStart w:id="172" w:name="_Toc32468"/>
      <w:bookmarkStart w:id="173" w:name="_Toc22395"/>
      <w:r>
        <w:rPr>
          <w:rFonts w:hint="eastAsia" w:ascii="宋体" w:hAnsi="宋体" w:cs="宋体"/>
          <w:sz w:val="24"/>
          <w:szCs w:val="24"/>
          <w:lang w:val="en-US"/>
        </w:rPr>
        <w:t>3.3</w:t>
      </w:r>
      <w:r>
        <w:rPr>
          <w:rFonts w:hint="eastAsia" w:ascii="宋体" w:hAnsi="宋体" w:cs="宋体"/>
          <w:sz w:val="24"/>
          <w:szCs w:val="24"/>
        </w:rPr>
        <w:t>可扩展性</w:t>
      </w:r>
      <w:bookmarkEnd w:id="171"/>
      <w:bookmarkEnd w:id="172"/>
      <w:bookmarkEnd w:id="173"/>
    </w:p>
    <w:p>
      <w:pPr>
        <w:spacing w:line="360" w:lineRule="auto"/>
        <w:ind w:firstLine="460" w:firstLineChars="192"/>
        <w:rPr>
          <w:rFonts w:ascii="宋体" w:hAnsi="宋体" w:cs="宋体"/>
          <w:sz w:val="24"/>
          <w:szCs w:val="24"/>
        </w:rPr>
      </w:pPr>
      <w:r>
        <w:rPr>
          <w:rFonts w:hint="eastAsia" w:ascii="宋体" w:hAnsi="宋体" w:cs="宋体"/>
          <w:sz w:val="24"/>
          <w:szCs w:val="24"/>
        </w:rPr>
        <w:t>具有随着技术的发展而不断升级的能力，这包括对新技术、新标准的支持及系统延展能力。</w:t>
      </w:r>
    </w:p>
    <w:p>
      <w:pPr>
        <w:pStyle w:val="6"/>
        <w:spacing w:before="0" w:after="0" w:line="360" w:lineRule="auto"/>
        <w:rPr>
          <w:rFonts w:ascii="宋体" w:hAnsi="宋体" w:cs="宋体"/>
          <w:sz w:val="24"/>
          <w:szCs w:val="24"/>
        </w:rPr>
      </w:pPr>
      <w:bookmarkStart w:id="174" w:name="_Toc71967475"/>
      <w:bookmarkStart w:id="175" w:name="_Toc17678"/>
      <w:bookmarkStart w:id="176" w:name="_Toc13125"/>
      <w:r>
        <w:rPr>
          <w:rFonts w:hint="eastAsia" w:ascii="宋体" w:hAnsi="宋体" w:cs="宋体"/>
          <w:sz w:val="24"/>
          <w:szCs w:val="24"/>
          <w:lang w:val="en-US"/>
        </w:rPr>
        <w:t>3.4</w:t>
      </w:r>
      <w:r>
        <w:rPr>
          <w:rFonts w:hint="eastAsia" w:ascii="宋体" w:hAnsi="宋体" w:cs="宋体"/>
          <w:sz w:val="24"/>
          <w:szCs w:val="24"/>
        </w:rPr>
        <w:t>通用性</w:t>
      </w:r>
      <w:bookmarkEnd w:id="174"/>
      <w:bookmarkEnd w:id="175"/>
      <w:bookmarkEnd w:id="176"/>
    </w:p>
    <w:p>
      <w:pPr>
        <w:spacing w:line="360" w:lineRule="auto"/>
        <w:ind w:firstLine="460" w:firstLineChars="192"/>
        <w:rPr>
          <w:rFonts w:ascii="宋体" w:hAnsi="宋体" w:cs="宋体"/>
          <w:sz w:val="24"/>
          <w:szCs w:val="24"/>
        </w:rPr>
      </w:pPr>
      <w:r>
        <w:rPr>
          <w:rFonts w:hint="eastAsia" w:ascii="宋体" w:hAnsi="宋体" w:cs="宋体"/>
          <w:sz w:val="24"/>
          <w:szCs w:val="24"/>
        </w:rPr>
        <w:t>对各类业务信息组成要素、各类业务的处理流程进行认真分析，整理提炼出通用的报文标准和业务处理流程。根据管理和业务拓展需要，对内核进行灵活的外延，增强系统的适应性和扩充性；要对新增业务做到独立的、模块化的开发，不因业务功能的拓展而导致内核改造。</w:t>
      </w:r>
    </w:p>
    <w:p>
      <w:pPr>
        <w:pStyle w:val="6"/>
        <w:spacing w:before="0" w:after="0" w:line="360" w:lineRule="auto"/>
        <w:rPr>
          <w:rFonts w:ascii="宋体" w:hAnsi="宋体" w:cs="宋体"/>
          <w:sz w:val="24"/>
          <w:szCs w:val="24"/>
        </w:rPr>
      </w:pPr>
      <w:bookmarkStart w:id="177" w:name="_Toc71967476"/>
      <w:bookmarkStart w:id="178" w:name="_Toc6211"/>
      <w:bookmarkStart w:id="179" w:name="_Toc4307"/>
      <w:r>
        <w:rPr>
          <w:rFonts w:hint="eastAsia" w:ascii="宋体" w:hAnsi="宋体" w:cs="宋体"/>
          <w:sz w:val="24"/>
          <w:szCs w:val="24"/>
          <w:lang w:val="en-US"/>
        </w:rPr>
        <w:t>3.5</w:t>
      </w:r>
      <w:r>
        <w:rPr>
          <w:rFonts w:hint="eastAsia" w:ascii="宋体" w:hAnsi="宋体" w:cs="宋体"/>
          <w:sz w:val="24"/>
          <w:szCs w:val="24"/>
        </w:rPr>
        <w:t>先进性</w:t>
      </w:r>
      <w:bookmarkEnd w:id="177"/>
      <w:bookmarkEnd w:id="178"/>
      <w:bookmarkEnd w:id="179"/>
    </w:p>
    <w:p>
      <w:pPr>
        <w:spacing w:line="360" w:lineRule="auto"/>
        <w:ind w:firstLine="460" w:firstLineChars="192"/>
        <w:rPr>
          <w:rFonts w:ascii="宋体" w:hAnsi="宋体" w:cs="宋体"/>
          <w:sz w:val="24"/>
          <w:szCs w:val="24"/>
        </w:rPr>
      </w:pPr>
      <w:r>
        <w:rPr>
          <w:rFonts w:hint="eastAsia" w:ascii="宋体" w:hAnsi="宋体" w:cs="宋体"/>
          <w:sz w:val="24"/>
          <w:szCs w:val="24"/>
        </w:rPr>
        <w:t>设计采用先进的体系结构，软、硬件技术和设备满足网络系统目前以及将来相当长一段时间对网络的要求，达到提高信息化水平、实现先进管理思想，同时在一定时间内保持技术领先，保证整个网络系统以高效、正常运行。</w:t>
      </w:r>
    </w:p>
    <w:p>
      <w:pPr>
        <w:pStyle w:val="6"/>
        <w:spacing w:before="0" w:after="0" w:line="360" w:lineRule="auto"/>
        <w:rPr>
          <w:rFonts w:ascii="宋体" w:hAnsi="宋体" w:cs="宋体"/>
          <w:sz w:val="24"/>
          <w:szCs w:val="24"/>
        </w:rPr>
      </w:pPr>
      <w:bookmarkStart w:id="180" w:name="_Toc71967477"/>
      <w:bookmarkStart w:id="181" w:name="_Toc26134"/>
      <w:bookmarkStart w:id="182" w:name="_Toc10662"/>
      <w:r>
        <w:rPr>
          <w:rFonts w:hint="eastAsia" w:ascii="宋体" w:hAnsi="宋体" w:cs="宋体"/>
          <w:sz w:val="24"/>
          <w:szCs w:val="24"/>
          <w:lang w:val="en-US"/>
        </w:rPr>
        <w:t>3.6</w:t>
      </w:r>
      <w:r>
        <w:rPr>
          <w:rFonts w:hint="eastAsia" w:ascii="宋体" w:hAnsi="宋体" w:cs="宋体"/>
          <w:sz w:val="24"/>
          <w:szCs w:val="24"/>
        </w:rPr>
        <w:t>可管理性</w:t>
      </w:r>
      <w:bookmarkEnd w:id="180"/>
      <w:bookmarkEnd w:id="181"/>
      <w:bookmarkEnd w:id="182"/>
    </w:p>
    <w:p>
      <w:pPr>
        <w:spacing w:line="360" w:lineRule="auto"/>
        <w:ind w:firstLine="460" w:firstLineChars="192"/>
        <w:rPr>
          <w:rFonts w:ascii="宋体" w:hAnsi="宋体" w:cs="宋体"/>
          <w:sz w:val="24"/>
          <w:szCs w:val="24"/>
        </w:rPr>
      </w:pPr>
      <w:r>
        <w:rPr>
          <w:rFonts w:hint="eastAsia" w:ascii="宋体" w:hAnsi="宋体" w:cs="宋体"/>
          <w:sz w:val="24"/>
          <w:szCs w:val="24"/>
        </w:rPr>
        <w:t>系统采用流程化、模块化、权限化设计，在应用过程中方便系统维护人员对处理流程、过程控制、权限管理等方面及时调整配置，满足应用。</w:t>
      </w:r>
    </w:p>
    <w:p>
      <w:pPr>
        <w:pStyle w:val="5"/>
        <w:spacing w:before="0" w:after="0" w:line="360" w:lineRule="auto"/>
        <w:jc w:val="left"/>
        <w:rPr>
          <w:rFonts w:ascii="宋体" w:hAnsi="宋体" w:eastAsia="宋体" w:cs="宋体"/>
          <w:b/>
          <w:bCs w:val="0"/>
          <w:sz w:val="24"/>
          <w:szCs w:val="24"/>
          <w:lang w:val="en-US"/>
        </w:rPr>
      </w:pPr>
      <w:bookmarkStart w:id="183" w:name="_Toc16580"/>
      <w:bookmarkStart w:id="184" w:name="_Toc30743"/>
      <w:r>
        <w:rPr>
          <w:rFonts w:hint="eastAsia" w:ascii="宋体" w:hAnsi="宋体" w:eastAsia="宋体" w:cs="宋体"/>
          <w:b/>
          <w:bCs w:val="0"/>
          <w:sz w:val="24"/>
          <w:szCs w:val="24"/>
          <w:lang w:val="en-US"/>
        </w:rPr>
        <w:t>4建设内容</w:t>
      </w:r>
      <w:bookmarkEnd w:id="183"/>
      <w:bookmarkEnd w:id="184"/>
    </w:p>
    <w:p>
      <w:pPr>
        <w:pStyle w:val="6"/>
        <w:spacing w:before="0" w:after="0" w:line="360" w:lineRule="auto"/>
        <w:rPr>
          <w:rFonts w:ascii="宋体" w:hAnsi="宋体" w:cs="宋体"/>
          <w:sz w:val="24"/>
          <w:szCs w:val="24"/>
          <w:lang w:val="en-US"/>
        </w:rPr>
      </w:pPr>
      <w:bookmarkStart w:id="185" w:name="_Toc21703"/>
      <w:bookmarkStart w:id="186" w:name="_Toc83204784"/>
      <w:bookmarkStart w:id="187" w:name="_Toc31210"/>
      <w:bookmarkStart w:id="188" w:name="_Toc72141940"/>
      <w:r>
        <w:rPr>
          <w:rFonts w:hint="eastAsia" w:ascii="宋体" w:hAnsi="宋体" w:cs="宋体"/>
          <w:sz w:val="24"/>
          <w:szCs w:val="24"/>
          <w:lang w:val="en-US"/>
        </w:rPr>
        <w:t>4.1总体架构</w:t>
      </w:r>
      <w:bookmarkEnd w:id="185"/>
      <w:bookmarkEnd w:id="186"/>
      <w:bookmarkEnd w:id="187"/>
      <w:bookmarkEnd w:id="188"/>
    </w:p>
    <w:p>
      <w:pPr>
        <w:spacing w:line="360" w:lineRule="auto"/>
        <w:ind w:firstLine="460" w:firstLineChars="192"/>
        <w:rPr>
          <w:rFonts w:ascii="宋体" w:hAnsi="宋体" w:cs="宋体"/>
          <w:sz w:val="24"/>
          <w:szCs w:val="24"/>
        </w:rPr>
      </w:pPr>
      <w:r>
        <w:rPr>
          <w:rFonts w:hint="eastAsia" w:ascii="宋体" w:hAnsi="宋体" w:cs="宋体"/>
          <w:sz w:val="24"/>
          <w:szCs w:val="24"/>
        </w:rPr>
        <w:t>系统遵循分层和复用设计理念，按照组件化、流程化、策略化设计原则，实现应用与数据分离、应用与流程分离、应用与规则分离，保证前后台端到端的业务及时响应能力，形成业务设计与系统开发同步完成的操作模式。</w:t>
      </w:r>
    </w:p>
    <w:p>
      <w:pPr>
        <w:spacing w:line="360" w:lineRule="auto"/>
        <w:ind w:firstLine="460" w:firstLineChars="192"/>
        <w:rPr>
          <w:rFonts w:ascii="宋体" w:hAnsi="宋体" w:cs="宋体"/>
          <w:sz w:val="24"/>
          <w:szCs w:val="24"/>
        </w:rPr>
      </w:pPr>
      <w:r>
        <w:rPr>
          <w:rFonts w:hint="eastAsia" w:ascii="宋体" w:hAnsi="宋体" w:cs="宋体"/>
          <w:sz w:val="24"/>
          <w:szCs w:val="24"/>
        </w:rPr>
        <w:t>基于建设目标与设计要求，本平台系统架构要求如下所示：</w:t>
      </w:r>
    </w:p>
    <w:p>
      <w:pPr>
        <w:spacing w:line="360" w:lineRule="auto"/>
        <w:rPr>
          <w:rFonts w:ascii="宋体" w:hAnsi="宋体" w:cs="宋体"/>
          <w:bCs/>
          <w:color w:val="000000"/>
          <w:kern w:val="0"/>
          <w:sz w:val="24"/>
          <w:szCs w:val="24"/>
        </w:rPr>
      </w:pPr>
      <w:r>
        <w:rPr>
          <w:rFonts w:hint="eastAsia" w:ascii="宋体" w:hAnsi="宋体" w:cs="宋体"/>
          <w:sz w:val="24"/>
          <w:szCs w:val="24"/>
        </w:rPr>
        <w:drawing>
          <wp:inline distT="0" distB="0" distL="0" distR="0">
            <wp:extent cx="5561965" cy="3200400"/>
            <wp:effectExtent l="0" t="0" r="63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570451" cy="3204943"/>
                    </a:xfrm>
                    <a:prstGeom prst="rect">
                      <a:avLst/>
                    </a:prstGeom>
                    <a:noFill/>
                    <a:ln>
                      <a:noFill/>
                    </a:ln>
                  </pic:spPr>
                </pic:pic>
              </a:graphicData>
            </a:graphic>
          </wp:inline>
        </w:drawing>
      </w:r>
    </w:p>
    <w:p>
      <w:pPr>
        <w:pStyle w:val="140"/>
        <w:numPr>
          <w:ilvl w:val="0"/>
          <w:numId w:val="11"/>
        </w:numPr>
        <w:spacing w:line="360" w:lineRule="auto"/>
        <w:ind w:firstLineChars="0"/>
        <w:rPr>
          <w:rFonts w:ascii="宋体" w:hAnsi="宋体" w:cs="宋体"/>
          <w:sz w:val="24"/>
          <w:szCs w:val="24"/>
          <w:lang w:val="zh-CN"/>
        </w:rPr>
      </w:pPr>
      <w:r>
        <w:rPr>
          <w:rFonts w:hint="eastAsia" w:ascii="宋体" w:hAnsi="宋体" w:cs="宋体"/>
          <w:color w:val="000000"/>
          <w:sz w:val="24"/>
          <w:szCs w:val="24"/>
        </w:rPr>
        <w:br w:type="page"/>
      </w:r>
    </w:p>
    <w:p>
      <w:pPr>
        <w:pStyle w:val="6"/>
        <w:spacing w:before="0" w:after="0" w:line="360" w:lineRule="auto"/>
        <w:rPr>
          <w:rFonts w:ascii="宋体" w:hAnsi="宋体" w:cs="宋体"/>
          <w:sz w:val="24"/>
          <w:szCs w:val="24"/>
          <w:lang w:val="en-US"/>
        </w:rPr>
      </w:pPr>
      <w:bookmarkStart w:id="189" w:name="_Toc21063"/>
      <w:bookmarkStart w:id="190" w:name="_Toc3629"/>
      <w:r>
        <w:rPr>
          <w:rFonts w:hint="eastAsia" w:ascii="宋体" w:hAnsi="宋体" w:cs="宋体"/>
          <w:sz w:val="24"/>
          <w:szCs w:val="24"/>
          <w:lang w:val="en-US"/>
        </w:rPr>
        <w:t>4.2 线上售票平台建设</w:t>
      </w:r>
      <w:bookmarkEnd w:id="189"/>
      <w:bookmarkEnd w:id="190"/>
    </w:p>
    <w:p>
      <w:pPr>
        <w:pStyle w:val="54"/>
        <w:spacing w:line="360" w:lineRule="auto"/>
        <w:ind w:firstLine="480" w:firstLineChars="200"/>
        <w:rPr>
          <w:rFonts w:ascii="宋体" w:hAnsi="宋体" w:eastAsia="宋体" w:cs="宋体"/>
          <w:color w:val="000000"/>
          <w:sz w:val="24"/>
        </w:rPr>
      </w:pPr>
      <w:r>
        <w:rPr>
          <w:rFonts w:hint="eastAsia" w:ascii="宋体" w:hAnsi="宋体" w:eastAsia="宋体" w:cs="宋体"/>
          <w:color w:val="000000"/>
          <w:sz w:val="24"/>
        </w:rPr>
        <w:t>线上平台接入三个端：APP端，微信公众号端，小程序端。用户在平台浏览景区商品，选择需要购买的商品完成支付后，可在订单中查看商品的购买凭证并在景区使用。商品的购买流程需要对接景区的ota接口。</w:t>
      </w:r>
    </w:p>
    <w:p>
      <w:pPr>
        <w:pStyle w:val="7"/>
        <w:spacing w:before="0" w:after="0" w:line="360" w:lineRule="auto"/>
        <w:rPr>
          <w:rFonts w:ascii="宋体" w:hAnsi="宋体" w:eastAsia="宋体" w:cs="宋体"/>
          <w:sz w:val="24"/>
          <w:szCs w:val="24"/>
          <w:lang w:val="en-US"/>
        </w:rPr>
      </w:pPr>
      <w:r>
        <w:rPr>
          <w:rFonts w:hint="eastAsia" w:ascii="宋体" w:hAnsi="宋体" w:eastAsia="宋体" w:cs="宋体"/>
          <w:sz w:val="24"/>
          <w:szCs w:val="24"/>
          <w:lang w:val="en-US"/>
        </w:rPr>
        <w:t>4.2.1 用户鉴权</w:t>
      </w:r>
    </w:p>
    <w:p>
      <w:pPr>
        <w:pStyle w:val="9"/>
        <w:spacing w:before="0" w:after="0" w:line="360" w:lineRule="auto"/>
        <w:rPr>
          <w:rFonts w:ascii="宋体" w:hAnsi="宋体" w:cs="宋体"/>
          <w:sz w:val="24"/>
          <w:szCs w:val="24"/>
          <w:lang w:val="en-US"/>
        </w:rPr>
      </w:pPr>
      <w:r>
        <w:rPr>
          <w:rFonts w:hint="eastAsia" w:ascii="宋体" w:hAnsi="宋体" w:cs="宋体"/>
          <w:sz w:val="24"/>
          <w:szCs w:val="24"/>
          <w:lang w:val="en-US"/>
        </w:rPr>
        <w:t>4.2.1.1 APP端用户信息鉴权对接</w:t>
      </w:r>
    </w:p>
    <w:p>
      <w:pPr>
        <w:pStyle w:val="54"/>
        <w:spacing w:line="360" w:lineRule="auto"/>
        <w:ind w:firstLine="480" w:firstLineChars="200"/>
        <w:rPr>
          <w:rFonts w:ascii="宋体" w:hAnsi="宋体" w:eastAsia="宋体" w:cs="宋体"/>
          <w:color w:val="000000"/>
          <w:sz w:val="24"/>
        </w:rPr>
      </w:pPr>
      <w:r>
        <w:rPr>
          <w:rFonts w:hint="eastAsia" w:ascii="宋体" w:hAnsi="宋体" w:eastAsia="宋体" w:cs="宋体"/>
          <w:color w:val="000000"/>
          <w:sz w:val="24"/>
        </w:rPr>
        <w:t>为嵌入APP，需要对接APP授权流程，获取APP登录用户信息。如果APP没有授权流程需要采用短信验证码登录流程完成用户鉴权。</w:t>
      </w:r>
    </w:p>
    <w:p>
      <w:pPr>
        <w:pStyle w:val="9"/>
        <w:spacing w:before="0" w:after="0" w:line="360" w:lineRule="auto"/>
        <w:rPr>
          <w:rFonts w:ascii="宋体" w:hAnsi="宋体" w:cs="宋体"/>
          <w:sz w:val="24"/>
          <w:szCs w:val="24"/>
          <w:lang w:val="en-US"/>
        </w:rPr>
      </w:pPr>
      <w:r>
        <w:rPr>
          <w:rFonts w:hint="eastAsia" w:ascii="宋体" w:hAnsi="宋体" w:cs="宋体"/>
          <w:sz w:val="24"/>
          <w:szCs w:val="24"/>
          <w:lang w:val="en-US"/>
        </w:rPr>
        <w:t>4.2.1.2 微信公众号端用户信息鉴权对接</w:t>
      </w:r>
    </w:p>
    <w:p>
      <w:pPr>
        <w:pStyle w:val="54"/>
        <w:spacing w:line="360" w:lineRule="auto"/>
        <w:ind w:firstLine="480" w:firstLineChars="200"/>
        <w:rPr>
          <w:rFonts w:ascii="宋体" w:hAnsi="宋体" w:eastAsia="宋体" w:cs="宋体"/>
          <w:color w:val="000000"/>
          <w:sz w:val="24"/>
        </w:rPr>
      </w:pPr>
      <w:r>
        <w:rPr>
          <w:rFonts w:hint="eastAsia" w:ascii="宋体" w:hAnsi="宋体" w:eastAsia="宋体" w:cs="宋体"/>
          <w:color w:val="000000"/>
          <w:sz w:val="24"/>
        </w:rPr>
        <w:t>采用嵌入小程序的方式完成微信公众号的售票平台嵌入。</w:t>
      </w:r>
    </w:p>
    <w:p>
      <w:pPr>
        <w:pStyle w:val="9"/>
        <w:spacing w:before="0" w:after="0" w:line="360" w:lineRule="auto"/>
        <w:rPr>
          <w:rFonts w:ascii="宋体" w:hAnsi="宋体" w:cs="宋体"/>
          <w:sz w:val="24"/>
          <w:szCs w:val="24"/>
          <w:lang w:val="en-US"/>
        </w:rPr>
      </w:pPr>
      <w:r>
        <w:rPr>
          <w:rFonts w:hint="eastAsia" w:ascii="宋体" w:hAnsi="宋体" w:cs="宋体"/>
          <w:sz w:val="24"/>
          <w:szCs w:val="24"/>
          <w:lang w:val="en-US"/>
        </w:rPr>
        <w:t>4.2.1.2小程序端用户信息鉴权对接</w:t>
      </w:r>
    </w:p>
    <w:p>
      <w:pPr>
        <w:pStyle w:val="54"/>
        <w:spacing w:line="360" w:lineRule="auto"/>
        <w:ind w:firstLine="480" w:firstLineChars="200"/>
        <w:rPr>
          <w:rFonts w:ascii="宋体" w:hAnsi="宋体" w:eastAsia="宋体" w:cs="宋体"/>
          <w:color w:val="000000"/>
          <w:sz w:val="24"/>
        </w:rPr>
      </w:pPr>
      <w:r>
        <w:rPr>
          <w:rFonts w:hint="eastAsia" w:ascii="宋体" w:hAnsi="宋体" w:eastAsia="宋体" w:cs="宋体"/>
          <w:color w:val="000000"/>
          <w:sz w:val="24"/>
        </w:rPr>
        <w:t>小程序端售票平台，需要接入小程序授权登录流程完成用户鉴权。</w:t>
      </w:r>
    </w:p>
    <w:p>
      <w:pPr>
        <w:pStyle w:val="7"/>
        <w:spacing w:before="0" w:after="0" w:line="360" w:lineRule="auto"/>
        <w:rPr>
          <w:rFonts w:ascii="宋体" w:hAnsi="宋体" w:eastAsia="宋体" w:cs="宋体"/>
          <w:sz w:val="24"/>
          <w:szCs w:val="24"/>
          <w:lang w:val="en-US"/>
        </w:rPr>
      </w:pPr>
      <w:r>
        <w:rPr>
          <w:rFonts w:hint="eastAsia" w:ascii="宋体" w:hAnsi="宋体" w:eastAsia="宋体" w:cs="宋体"/>
          <w:sz w:val="24"/>
          <w:szCs w:val="24"/>
          <w:lang w:val="en-US"/>
        </w:rPr>
        <w:t>4.2.2 支付</w:t>
      </w:r>
    </w:p>
    <w:p>
      <w:pPr>
        <w:pStyle w:val="9"/>
        <w:spacing w:before="0" w:after="0" w:line="360" w:lineRule="auto"/>
        <w:rPr>
          <w:rFonts w:ascii="宋体" w:hAnsi="宋体" w:cs="宋体"/>
          <w:sz w:val="24"/>
          <w:szCs w:val="24"/>
          <w:lang w:val="en-US"/>
        </w:rPr>
      </w:pPr>
      <w:r>
        <w:rPr>
          <w:rFonts w:hint="eastAsia" w:ascii="宋体" w:hAnsi="宋体" w:cs="宋体"/>
          <w:sz w:val="24"/>
          <w:szCs w:val="24"/>
          <w:lang w:val="en-US"/>
        </w:rPr>
        <w:t>4.2.2.1 微信H5支付</w:t>
      </w:r>
    </w:p>
    <w:p>
      <w:pPr>
        <w:pStyle w:val="54"/>
        <w:spacing w:line="360" w:lineRule="auto"/>
        <w:ind w:firstLine="480" w:firstLineChars="200"/>
        <w:rPr>
          <w:rFonts w:ascii="宋体" w:hAnsi="宋体" w:eastAsia="宋体" w:cs="宋体"/>
          <w:color w:val="000000"/>
          <w:sz w:val="24"/>
        </w:rPr>
      </w:pPr>
      <w:r>
        <w:rPr>
          <w:rFonts w:hint="eastAsia" w:ascii="宋体" w:hAnsi="宋体" w:eastAsia="宋体" w:cs="宋体"/>
          <w:color w:val="000000"/>
          <w:sz w:val="24"/>
        </w:rPr>
        <w:t>APP中线上售票平台需要对接微信H5支付，用户完成商品选择后，可在APP中发起微信H5支付完成商品购买。</w:t>
      </w:r>
    </w:p>
    <w:p>
      <w:pPr>
        <w:pStyle w:val="9"/>
        <w:spacing w:before="0" w:after="0" w:line="360" w:lineRule="auto"/>
        <w:rPr>
          <w:rFonts w:ascii="宋体" w:hAnsi="宋体" w:cs="宋体"/>
          <w:sz w:val="24"/>
          <w:szCs w:val="24"/>
          <w:lang w:val="en-US"/>
        </w:rPr>
      </w:pPr>
      <w:r>
        <w:rPr>
          <w:rFonts w:hint="eastAsia" w:ascii="宋体" w:hAnsi="宋体" w:cs="宋体"/>
          <w:sz w:val="24"/>
          <w:szCs w:val="24"/>
          <w:lang w:val="en-US"/>
        </w:rPr>
        <w:t>4.2.2.2 微信小程序支付</w:t>
      </w:r>
    </w:p>
    <w:p>
      <w:pPr>
        <w:pStyle w:val="54"/>
        <w:spacing w:line="360" w:lineRule="auto"/>
        <w:ind w:firstLine="480" w:firstLineChars="200"/>
        <w:rPr>
          <w:rFonts w:ascii="宋体" w:hAnsi="宋体" w:eastAsia="宋体" w:cs="宋体"/>
          <w:color w:val="000000"/>
          <w:sz w:val="24"/>
        </w:rPr>
      </w:pPr>
      <w:r>
        <w:rPr>
          <w:rFonts w:hint="eastAsia" w:ascii="宋体" w:hAnsi="宋体" w:eastAsia="宋体" w:cs="宋体"/>
          <w:color w:val="000000"/>
          <w:sz w:val="24"/>
        </w:rPr>
        <w:t>小程序中线上售票平台需要对接微信小程序支付，用户完成商品选择后，可在小程序中发起微信微信小程序支付完成商品购买。</w:t>
      </w:r>
    </w:p>
    <w:p>
      <w:pPr>
        <w:pStyle w:val="9"/>
        <w:spacing w:before="0" w:after="0" w:line="360" w:lineRule="auto"/>
        <w:rPr>
          <w:rFonts w:ascii="宋体" w:hAnsi="宋体" w:cs="宋体"/>
          <w:sz w:val="24"/>
          <w:szCs w:val="24"/>
          <w:lang w:val="en-US"/>
        </w:rPr>
      </w:pPr>
      <w:r>
        <w:rPr>
          <w:rFonts w:hint="eastAsia" w:ascii="宋体" w:hAnsi="宋体" w:cs="宋体"/>
          <w:sz w:val="24"/>
          <w:szCs w:val="24"/>
          <w:lang w:val="en-US"/>
        </w:rPr>
        <w:t>4.2.2.3 支付宝支付</w:t>
      </w:r>
    </w:p>
    <w:p>
      <w:pPr>
        <w:pStyle w:val="54"/>
        <w:spacing w:line="360" w:lineRule="auto"/>
        <w:ind w:firstLine="480" w:firstLineChars="200"/>
        <w:rPr>
          <w:rFonts w:ascii="宋体" w:hAnsi="宋体" w:eastAsia="宋体" w:cs="宋体"/>
          <w:color w:val="000000"/>
          <w:sz w:val="24"/>
        </w:rPr>
      </w:pPr>
      <w:r>
        <w:rPr>
          <w:rFonts w:hint="eastAsia" w:ascii="宋体" w:hAnsi="宋体" w:eastAsia="宋体" w:cs="宋体"/>
          <w:color w:val="000000"/>
          <w:sz w:val="24"/>
        </w:rPr>
        <w:t>APP中线上售票平台需要对接支付宝支付，用户完成商品选择后，可在APP中发起支付宝支付完成商品购买。</w:t>
      </w:r>
    </w:p>
    <w:p>
      <w:pPr>
        <w:pStyle w:val="54"/>
        <w:spacing w:line="360" w:lineRule="auto"/>
        <w:ind w:firstLine="480" w:firstLineChars="200"/>
        <w:rPr>
          <w:rFonts w:ascii="宋体" w:hAnsi="宋体" w:eastAsia="宋体" w:cs="宋体"/>
          <w:color w:val="000000"/>
          <w:sz w:val="24"/>
        </w:rPr>
      </w:pPr>
    </w:p>
    <w:p>
      <w:pPr>
        <w:pStyle w:val="7"/>
        <w:spacing w:before="0" w:after="0" w:line="360" w:lineRule="auto"/>
        <w:rPr>
          <w:rFonts w:ascii="宋体" w:hAnsi="宋体" w:eastAsia="宋体" w:cs="宋体"/>
          <w:sz w:val="24"/>
          <w:szCs w:val="24"/>
          <w:lang w:val="en-US"/>
        </w:rPr>
      </w:pPr>
      <w:r>
        <w:rPr>
          <w:rFonts w:hint="eastAsia" w:ascii="宋体" w:hAnsi="宋体" w:eastAsia="宋体" w:cs="宋体"/>
          <w:sz w:val="24"/>
          <w:szCs w:val="24"/>
          <w:lang w:val="en-US"/>
        </w:rPr>
        <w:t>4.2.3商品</w:t>
      </w:r>
    </w:p>
    <w:p>
      <w:pPr>
        <w:pStyle w:val="9"/>
        <w:spacing w:before="0" w:after="0" w:line="360" w:lineRule="auto"/>
        <w:rPr>
          <w:rFonts w:ascii="宋体" w:hAnsi="宋体" w:cs="宋体"/>
          <w:sz w:val="24"/>
          <w:szCs w:val="24"/>
          <w:lang w:val="en-US"/>
        </w:rPr>
      </w:pPr>
      <w:bookmarkStart w:id="191" w:name="_Toc45783649"/>
      <w:r>
        <w:rPr>
          <w:rFonts w:hint="eastAsia" w:ascii="宋体" w:hAnsi="宋体" w:cs="宋体"/>
          <w:sz w:val="24"/>
          <w:szCs w:val="24"/>
          <w:lang w:val="en-US"/>
        </w:rPr>
        <w:t>4.2.3.1</w:t>
      </w:r>
      <w:bookmarkEnd w:id="191"/>
      <w:r>
        <w:rPr>
          <w:rFonts w:hint="eastAsia" w:ascii="宋体" w:hAnsi="宋体" w:cs="宋体"/>
          <w:sz w:val="24"/>
          <w:szCs w:val="24"/>
          <w:lang w:val="en-US"/>
        </w:rPr>
        <w:t>获取合作景点信息</w:t>
      </w:r>
    </w:p>
    <w:p>
      <w:pPr>
        <w:spacing w:line="360" w:lineRule="auto"/>
        <w:ind w:firstLine="420"/>
        <w:rPr>
          <w:rFonts w:ascii="宋体" w:hAnsi="宋体" w:cs="宋体"/>
          <w:color w:val="000000"/>
          <w:sz w:val="24"/>
          <w:szCs w:val="24"/>
        </w:rPr>
      </w:pPr>
      <w:r>
        <w:rPr>
          <w:rFonts w:hint="eastAsia" w:ascii="宋体" w:hAnsi="宋体" w:cs="宋体"/>
          <w:color w:val="000000"/>
          <w:sz w:val="24"/>
          <w:szCs w:val="24"/>
        </w:rPr>
        <w:t>对接景区OTA接口，获取景点信息，用于提供在华侨城旅游营销平台已合作景点信息。</w:t>
      </w:r>
    </w:p>
    <w:p>
      <w:pPr>
        <w:pStyle w:val="9"/>
        <w:spacing w:before="0" w:after="0" w:line="360" w:lineRule="auto"/>
        <w:rPr>
          <w:rFonts w:ascii="宋体" w:hAnsi="宋体" w:cs="宋体"/>
          <w:sz w:val="24"/>
          <w:szCs w:val="24"/>
          <w:lang w:val="en-US"/>
        </w:rPr>
      </w:pPr>
      <w:r>
        <w:rPr>
          <w:rFonts w:hint="eastAsia" w:ascii="宋体" w:hAnsi="宋体" w:cs="宋体"/>
          <w:sz w:val="24"/>
          <w:szCs w:val="24"/>
          <w:lang w:val="en-US"/>
        </w:rPr>
        <w:t>4.2.3.2获取景点商品列表信息</w:t>
      </w:r>
    </w:p>
    <w:p>
      <w:pPr>
        <w:pStyle w:val="54"/>
        <w:spacing w:line="360" w:lineRule="auto"/>
        <w:ind w:firstLine="480" w:firstLineChars="200"/>
        <w:rPr>
          <w:rFonts w:ascii="宋体" w:hAnsi="宋体" w:eastAsia="宋体" w:cs="宋体"/>
          <w:color w:val="000000"/>
          <w:sz w:val="24"/>
        </w:rPr>
      </w:pPr>
      <w:r>
        <w:rPr>
          <w:rFonts w:hint="eastAsia" w:ascii="宋体" w:hAnsi="宋体" w:eastAsia="宋体" w:cs="宋体"/>
          <w:color w:val="000000"/>
          <w:sz w:val="24"/>
        </w:rPr>
        <w:t>对接景区OTA接口，获取景点商品列表信息，用于商品定义查询。</w:t>
      </w:r>
    </w:p>
    <w:p>
      <w:pPr>
        <w:pStyle w:val="9"/>
        <w:spacing w:before="0" w:after="0" w:line="360" w:lineRule="auto"/>
        <w:rPr>
          <w:rFonts w:ascii="宋体" w:hAnsi="宋体" w:cs="宋体"/>
          <w:sz w:val="24"/>
          <w:szCs w:val="24"/>
          <w:lang w:val="en-US"/>
        </w:rPr>
      </w:pPr>
      <w:bookmarkStart w:id="192" w:name="_Toc45783651"/>
      <w:r>
        <w:rPr>
          <w:rFonts w:hint="eastAsia" w:ascii="宋体" w:hAnsi="宋体" w:cs="宋体"/>
          <w:sz w:val="24"/>
          <w:szCs w:val="24"/>
          <w:lang w:val="en-US"/>
        </w:rPr>
        <w:t>4.2.3</w:t>
      </w:r>
      <w:bookmarkEnd w:id="192"/>
      <w:r>
        <w:rPr>
          <w:rFonts w:hint="eastAsia" w:ascii="宋体" w:hAnsi="宋体" w:cs="宋体"/>
          <w:sz w:val="24"/>
          <w:szCs w:val="24"/>
          <w:lang w:val="en-US"/>
        </w:rPr>
        <w:t>.3获取景点门票商品详情信息</w:t>
      </w:r>
    </w:p>
    <w:p>
      <w:pPr>
        <w:pStyle w:val="54"/>
        <w:spacing w:line="360" w:lineRule="auto"/>
        <w:ind w:firstLine="480" w:firstLineChars="200"/>
        <w:rPr>
          <w:rFonts w:ascii="宋体" w:hAnsi="宋体" w:eastAsia="宋体" w:cs="宋体"/>
          <w:color w:val="000000"/>
          <w:sz w:val="24"/>
        </w:rPr>
      </w:pPr>
      <w:r>
        <w:rPr>
          <w:rFonts w:hint="eastAsia" w:ascii="宋体" w:hAnsi="宋体" w:eastAsia="宋体" w:cs="宋体"/>
          <w:color w:val="000000"/>
          <w:sz w:val="24"/>
        </w:rPr>
        <w:t>对接景区OTA接口，获取景区门票商品详情定义，包含该商品的销售限制规则与使用规则，用于后续发生交易使用。</w:t>
      </w:r>
    </w:p>
    <w:p>
      <w:pPr>
        <w:pStyle w:val="9"/>
        <w:spacing w:before="0" w:after="0" w:line="360" w:lineRule="auto"/>
        <w:rPr>
          <w:rFonts w:ascii="宋体" w:hAnsi="宋体" w:cs="宋体"/>
          <w:sz w:val="24"/>
          <w:szCs w:val="24"/>
          <w:lang w:val="en-US"/>
        </w:rPr>
      </w:pPr>
      <w:r>
        <w:rPr>
          <w:rFonts w:hint="eastAsia" w:ascii="宋体" w:hAnsi="宋体" w:cs="宋体"/>
          <w:sz w:val="24"/>
          <w:szCs w:val="24"/>
          <w:lang w:val="en-US"/>
        </w:rPr>
        <w:t>4.2.3.4获取套餐商品详情信息</w:t>
      </w:r>
    </w:p>
    <w:p>
      <w:pPr>
        <w:pStyle w:val="54"/>
        <w:spacing w:line="360" w:lineRule="auto"/>
        <w:ind w:firstLine="480" w:firstLineChars="200"/>
        <w:rPr>
          <w:rFonts w:ascii="宋体" w:hAnsi="宋体" w:eastAsia="宋体" w:cs="宋体"/>
          <w:color w:val="000000"/>
          <w:sz w:val="24"/>
        </w:rPr>
      </w:pPr>
      <w:bookmarkStart w:id="193" w:name="_Toc45783653"/>
      <w:r>
        <w:rPr>
          <w:rFonts w:hint="eastAsia" w:ascii="宋体" w:hAnsi="宋体" w:eastAsia="宋体" w:cs="宋体"/>
          <w:color w:val="000000"/>
          <w:sz w:val="24"/>
        </w:rPr>
        <w:t>对接景区OTA接口，获取套餐商品详情定义，包含该商品的销售限制规则与使用规则，用于后续发生交易使用。</w:t>
      </w:r>
    </w:p>
    <w:p>
      <w:pPr>
        <w:pStyle w:val="9"/>
        <w:spacing w:before="0" w:after="0" w:line="360" w:lineRule="auto"/>
        <w:rPr>
          <w:rFonts w:ascii="宋体" w:hAnsi="宋体" w:cs="宋体"/>
          <w:sz w:val="24"/>
          <w:szCs w:val="24"/>
          <w:lang w:val="en-US"/>
        </w:rPr>
      </w:pPr>
      <w:r>
        <w:rPr>
          <w:rFonts w:hint="eastAsia" w:ascii="宋体" w:hAnsi="宋体" w:cs="宋体"/>
          <w:sz w:val="24"/>
          <w:szCs w:val="24"/>
          <w:lang w:val="en-US"/>
        </w:rPr>
        <w:t>4.2.3.5</w:t>
      </w:r>
      <w:bookmarkEnd w:id="193"/>
      <w:r>
        <w:rPr>
          <w:rFonts w:hint="eastAsia" w:ascii="宋体" w:hAnsi="宋体" w:cs="宋体"/>
          <w:sz w:val="24"/>
          <w:szCs w:val="24"/>
          <w:lang w:val="en-US"/>
        </w:rPr>
        <w:t>获取消费券商品详情信息</w:t>
      </w:r>
    </w:p>
    <w:p>
      <w:pPr>
        <w:pStyle w:val="54"/>
        <w:spacing w:line="360" w:lineRule="auto"/>
        <w:ind w:firstLine="480" w:firstLineChars="200"/>
        <w:rPr>
          <w:rFonts w:ascii="宋体" w:hAnsi="宋体" w:eastAsia="宋体" w:cs="宋体"/>
          <w:color w:val="000000"/>
          <w:sz w:val="24"/>
        </w:rPr>
      </w:pPr>
      <w:bookmarkStart w:id="194" w:name="_Toc45783654"/>
      <w:r>
        <w:rPr>
          <w:rFonts w:hint="eastAsia" w:ascii="宋体" w:hAnsi="宋体" w:eastAsia="宋体" w:cs="宋体"/>
          <w:color w:val="000000"/>
          <w:sz w:val="24"/>
        </w:rPr>
        <w:t>对接景区OTA接口，获取消费券商品详情定义，包含该商品的销售限制规则与使用规则，用于后续发生交易使用。</w:t>
      </w:r>
    </w:p>
    <w:p>
      <w:pPr>
        <w:pStyle w:val="9"/>
        <w:spacing w:before="0" w:after="0" w:line="360" w:lineRule="auto"/>
        <w:rPr>
          <w:rFonts w:ascii="宋体" w:hAnsi="宋体" w:cs="宋体"/>
          <w:sz w:val="24"/>
          <w:szCs w:val="24"/>
          <w:lang w:val="en-US"/>
        </w:rPr>
      </w:pPr>
      <w:r>
        <w:rPr>
          <w:rFonts w:hint="eastAsia" w:ascii="宋体" w:hAnsi="宋体" w:cs="宋体"/>
          <w:sz w:val="24"/>
          <w:szCs w:val="24"/>
          <w:lang w:val="en-US"/>
        </w:rPr>
        <w:t>4.2.3.6</w:t>
      </w:r>
      <w:bookmarkEnd w:id="194"/>
      <w:r>
        <w:rPr>
          <w:rFonts w:hint="eastAsia" w:ascii="宋体" w:hAnsi="宋体" w:cs="宋体"/>
          <w:sz w:val="24"/>
          <w:szCs w:val="24"/>
          <w:lang w:val="en-US"/>
        </w:rPr>
        <w:t>获取电子年卡商品详情信息</w:t>
      </w:r>
    </w:p>
    <w:p>
      <w:pPr>
        <w:pStyle w:val="54"/>
        <w:spacing w:line="360" w:lineRule="auto"/>
        <w:ind w:firstLine="480" w:firstLineChars="200"/>
        <w:rPr>
          <w:rFonts w:ascii="宋体" w:hAnsi="宋体" w:eastAsia="宋体" w:cs="宋体"/>
          <w:color w:val="000000"/>
          <w:sz w:val="24"/>
        </w:rPr>
      </w:pPr>
      <w:bookmarkStart w:id="195" w:name="_Toc45783655"/>
      <w:r>
        <w:rPr>
          <w:rFonts w:hint="eastAsia" w:ascii="宋体" w:hAnsi="宋体" w:eastAsia="宋体" w:cs="宋体"/>
          <w:color w:val="000000"/>
          <w:sz w:val="24"/>
        </w:rPr>
        <w:t>对接景区OTA接口，获取电子年卡商品详情定义，包含该商品的销售限制规则与使用规则，用于后续发生交易使用。</w:t>
      </w:r>
    </w:p>
    <w:p>
      <w:pPr>
        <w:pStyle w:val="9"/>
        <w:spacing w:before="0" w:after="0" w:line="360" w:lineRule="auto"/>
        <w:rPr>
          <w:rFonts w:ascii="宋体" w:hAnsi="宋体" w:cs="宋体"/>
          <w:sz w:val="24"/>
          <w:szCs w:val="24"/>
          <w:lang w:val="en-US"/>
        </w:rPr>
      </w:pPr>
      <w:r>
        <w:rPr>
          <w:rFonts w:hint="eastAsia" w:ascii="宋体" w:hAnsi="宋体" w:cs="宋体"/>
          <w:sz w:val="24"/>
          <w:szCs w:val="24"/>
          <w:lang w:val="en-US"/>
        </w:rPr>
        <w:t>4.2.3.7</w:t>
      </w:r>
      <w:bookmarkEnd w:id="195"/>
      <w:r>
        <w:rPr>
          <w:rFonts w:hint="eastAsia" w:ascii="宋体" w:hAnsi="宋体" w:cs="宋体"/>
          <w:sz w:val="24"/>
          <w:szCs w:val="24"/>
          <w:lang w:val="en-US"/>
        </w:rPr>
        <w:t>获取场馆商品详情信息</w:t>
      </w:r>
    </w:p>
    <w:p>
      <w:pPr>
        <w:pStyle w:val="54"/>
        <w:spacing w:line="360" w:lineRule="auto"/>
        <w:ind w:firstLine="480" w:firstLineChars="200"/>
        <w:rPr>
          <w:rFonts w:ascii="宋体" w:hAnsi="宋体" w:eastAsia="宋体" w:cs="宋体"/>
          <w:color w:val="000000"/>
          <w:sz w:val="24"/>
        </w:rPr>
      </w:pPr>
      <w:bookmarkStart w:id="196" w:name="_Toc45783656"/>
      <w:r>
        <w:rPr>
          <w:rFonts w:hint="eastAsia" w:ascii="宋体" w:hAnsi="宋体" w:eastAsia="宋体" w:cs="宋体"/>
          <w:color w:val="000000"/>
          <w:sz w:val="24"/>
        </w:rPr>
        <w:t>对接景区OTA接口，获取场馆商品详情定义，包含该商品的销售限制规则与使用规则，用于后续发生交易使用。</w:t>
      </w:r>
    </w:p>
    <w:p>
      <w:pPr>
        <w:pStyle w:val="9"/>
        <w:spacing w:before="0" w:after="0" w:line="360" w:lineRule="auto"/>
        <w:rPr>
          <w:rFonts w:ascii="宋体" w:hAnsi="宋体" w:cs="宋体"/>
          <w:sz w:val="24"/>
          <w:szCs w:val="24"/>
          <w:lang w:val="en-US"/>
        </w:rPr>
      </w:pPr>
      <w:r>
        <w:rPr>
          <w:rFonts w:hint="eastAsia" w:ascii="宋体" w:hAnsi="宋体" w:cs="宋体"/>
          <w:sz w:val="24"/>
          <w:szCs w:val="24"/>
          <w:lang w:val="en-US"/>
        </w:rPr>
        <w:t>4.2.3.8</w:t>
      </w:r>
      <w:bookmarkEnd w:id="196"/>
      <w:r>
        <w:rPr>
          <w:rFonts w:hint="eastAsia" w:ascii="宋体" w:hAnsi="宋体" w:cs="宋体"/>
          <w:sz w:val="24"/>
          <w:szCs w:val="24"/>
          <w:lang w:val="en-US"/>
        </w:rPr>
        <w:t>获取商品价格日历</w:t>
      </w:r>
    </w:p>
    <w:p>
      <w:pPr>
        <w:pStyle w:val="54"/>
        <w:spacing w:line="360" w:lineRule="auto"/>
        <w:ind w:firstLine="480" w:firstLineChars="200"/>
        <w:rPr>
          <w:rFonts w:ascii="宋体" w:hAnsi="宋体" w:eastAsia="宋体" w:cs="宋体"/>
          <w:color w:val="000000"/>
          <w:sz w:val="24"/>
        </w:rPr>
      </w:pPr>
      <w:r>
        <w:rPr>
          <w:rFonts w:hint="eastAsia" w:ascii="宋体" w:hAnsi="宋体" w:eastAsia="宋体" w:cs="宋体"/>
          <w:color w:val="000000"/>
          <w:sz w:val="24"/>
        </w:rPr>
        <w:t>对接景区OTA接口，获取制定商品指定日期价格，用于后续发生交易使用。</w:t>
      </w:r>
    </w:p>
    <w:p>
      <w:pPr>
        <w:pStyle w:val="9"/>
        <w:spacing w:before="0" w:after="0" w:line="360" w:lineRule="auto"/>
        <w:rPr>
          <w:rFonts w:ascii="宋体" w:hAnsi="宋体" w:cs="宋体"/>
          <w:sz w:val="24"/>
          <w:szCs w:val="24"/>
          <w:lang w:val="en-US"/>
        </w:rPr>
      </w:pPr>
      <w:r>
        <w:rPr>
          <w:rFonts w:hint="eastAsia" w:ascii="宋体" w:hAnsi="宋体" w:cs="宋体"/>
          <w:sz w:val="24"/>
          <w:szCs w:val="24"/>
          <w:lang w:val="en-US"/>
        </w:rPr>
        <w:t>4.2.3.9商品销售政策后续配合</w:t>
      </w:r>
    </w:p>
    <w:p>
      <w:pPr>
        <w:pStyle w:val="54"/>
        <w:spacing w:line="360" w:lineRule="auto"/>
        <w:ind w:firstLine="420"/>
        <w:rPr>
          <w:rFonts w:ascii="宋体" w:hAnsi="宋体" w:eastAsia="宋体" w:cs="宋体"/>
          <w:sz w:val="24"/>
        </w:rPr>
      </w:pPr>
      <w:r>
        <w:rPr>
          <w:rFonts w:hint="eastAsia" w:ascii="宋体" w:hAnsi="宋体" w:eastAsia="宋体" w:cs="宋体"/>
          <w:sz w:val="24"/>
        </w:rPr>
        <w:t>系统验收合格上线一年内需提供免费商品销售微调服务。</w:t>
      </w:r>
    </w:p>
    <w:p>
      <w:pPr>
        <w:pStyle w:val="7"/>
        <w:spacing w:before="0" w:after="0" w:line="360" w:lineRule="auto"/>
        <w:rPr>
          <w:rFonts w:ascii="宋体" w:hAnsi="宋体" w:eastAsia="宋体" w:cs="宋体"/>
          <w:sz w:val="24"/>
          <w:szCs w:val="24"/>
          <w:lang w:val="en-US"/>
        </w:rPr>
      </w:pPr>
      <w:r>
        <w:rPr>
          <w:rFonts w:hint="eastAsia" w:ascii="宋体" w:hAnsi="宋体" w:eastAsia="宋体" w:cs="宋体"/>
          <w:sz w:val="24"/>
          <w:szCs w:val="24"/>
          <w:lang w:val="en-US"/>
        </w:rPr>
        <w:t>4.2.4订单交易</w:t>
      </w:r>
    </w:p>
    <w:p>
      <w:pPr>
        <w:pStyle w:val="9"/>
        <w:spacing w:before="0" w:after="0" w:line="360" w:lineRule="auto"/>
        <w:rPr>
          <w:rFonts w:ascii="宋体" w:hAnsi="宋体" w:cs="宋体"/>
          <w:sz w:val="24"/>
          <w:szCs w:val="24"/>
          <w:lang w:val="en-US"/>
        </w:rPr>
      </w:pPr>
      <w:bookmarkStart w:id="197" w:name="_Toc45783658"/>
      <w:r>
        <w:rPr>
          <w:rFonts w:hint="eastAsia" w:ascii="宋体" w:hAnsi="宋体" w:cs="宋体"/>
          <w:sz w:val="24"/>
          <w:szCs w:val="24"/>
          <w:lang w:val="en-US"/>
        </w:rPr>
        <w:t>4.2.4.1</w:t>
      </w:r>
      <w:bookmarkEnd w:id="197"/>
      <w:r>
        <w:rPr>
          <w:rFonts w:hint="eastAsia" w:ascii="宋体" w:hAnsi="宋体" w:cs="宋体"/>
          <w:sz w:val="24"/>
          <w:szCs w:val="24"/>
          <w:lang w:val="en-US"/>
        </w:rPr>
        <w:t>订单预校验</w:t>
      </w:r>
    </w:p>
    <w:p>
      <w:pPr>
        <w:pStyle w:val="140"/>
        <w:spacing w:line="360" w:lineRule="auto"/>
        <w:ind w:firstLine="480"/>
        <w:rPr>
          <w:rFonts w:ascii="宋体" w:hAnsi="宋体" w:cs="宋体"/>
          <w:color w:val="000000"/>
          <w:sz w:val="24"/>
          <w:szCs w:val="24"/>
        </w:rPr>
      </w:pPr>
      <w:r>
        <w:rPr>
          <w:rFonts w:hint="eastAsia" w:ascii="宋体" w:hAnsi="宋体" w:cs="宋体"/>
          <w:color w:val="000000"/>
          <w:sz w:val="24"/>
          <w:szCs w:val="24"/>
        </w:rPr>
        <w:t>对接OTA接口，通过该接口校验出该游客对于购买商品的限购情况（不校验库存）。</w:t>
      </w:r>
    </w:p>
    <w:p>
      <w:pPr>
        <w:pStyle w:val="9"/>
        <w:spacing w:before="0" w:after="0" w:line="360" w:lineRule="auto"/>
        <w:rPr>
          <w:rFonts w:ascii="宋体" w:hAnsi="宋体" w:cs="宋体"/>
          <w:sz w:val="24"/>
          <w:szCs w:val="24"/>
          <w:lang w:val="en-US"/>
        </w:rPr>
      </w:pPr>
      <w:r>
        <w:rPr>
          <w:rFonts w:hint="eastAsia" w:ascii="宋体" w:hAnsi="宋体" w:cs="宋体"/>
          <w:sz w:val="24"/>
          <w:szCs w:val="24"/>
          <w:lang w:val="en-US"/>
        </w:rPr>
        <w:t>4.2.4.2创建订单</w:t>
      </w:r>
    </w:p>
    <w:p>
      <w:pPr>
        <w:spacing w:line="360" w:lineRule="auto"/>
        <w:ind w:left="210" w:leftChars="100" w:firstLine="240" w:firstLineChars="100"/>
        <w:rPr>
          <w:rFonts w:ascii="宋体" w:hAnsi="宋体" w:cs="宋体"/>
          <w:color w:val="000000"/>
          <w:sz w:val="24"/>
          <w:szCs w:val="24"/>
        </w:rPr>
      </w:pPr>
      <w:r>
        <w:rPr>
          <w:rFonts w:hint="eastAsia" w:ascii="宋体" w:hAnsi="宋体" w:cs="宋体"/>
          <w:color w:val="000000"/>
          <w:sz w:val="24"/>
          <w:szCs w:val="24"/>
        </w:rPr>
        <w:t>对接OTA接口，通过此接口创建订单。</w:t>
      </w:r>
    </w:p>
    <w:p>
      <w:pPr>
        <w:pStyle w:val="54"/>
        <w:spacing w:line="360" w:lineRule="auto"/>
        <w:ind w:firstLine="480" w:firstLineChars="200"/>
        <w:rPr>
          <w:rFonts w:ascii="宋体" w:hAnsi="宋体" w:eastAsia="宋体" w:cs="宋体"/>
          <w:color w:val="000000"/>
          <w:sz w:val="24"/>
        </w:rPr>
      </w:pPr>
      <w:r>
        <w:rPr>
          <w:rFonts w:hint="eastAsia" w:ascii="宋体" w:hAnsi="宋体" w:eastAsia="宋体" w:cs="宋体"/>
          <w:color w:val="000000"/>
          <w:sz w:val="24"/>
        </w:rPr>
        <w:t>在没有接收到</w:t>
      </w:r>
      <w:r>
        <w:fldChar w:fldCharType="begin"/>
      </w:r>
      <w:r>
        <w:instrText xml:space="preserve"> HYPERLINK \l "订单创建结果通知" </w:instrText>
      </w:r>
      <w:r>
        <w:fldChar w:fldCharType="separate"/>
      </w:r>
      <w:r>
        <w:rPr>
          <w:rFonts w:hint="eastAsia" w:ascii="宋体" w:hAnsi="宋体" w:eastAsia="宋体" w:cs="宋体"/>
          <w:color w:val="000000"/>
          <w:sz w:val="24"/>
        </w:rPr>
        <w:t>订单创建结果通知</w:t>
      </w:r>
      <w:r>
        <w:rPr>
          <w:rFonts w:hint="eastAsia" w:ascii="宋体" w:hAnsi="宋体" w:eastAsia="宋体" w:cs="宋体"/>
          <w:color w:val="000000"/>
          <w:sz w:val="24"/>
        </w:rPr>
        <w:fldChar w:fldCharType="end"/>
      </w:r>
      <w:r>
        <w:rPr>
          <w:rFonts w:hint="eastAsia" w:ascii="宋体" w:hAnsi="宋体" w:eastAsia="宋体" w:cs="宋体"/>
          <w:color w:val="000000"/>
          <w:sz w:val="24"/>
        </w:rPr>
        <w:t>前，必须通过</w:t>
      </w:r>
      <w:r>
        <w:fldChar w:fldCharType="begin"/>
      </w:r>
      <w:r>
        <w:instrText xml:space="preserve"> HYPERLINK \l "订单详情查询接口" </w:instrText>
      </w:r>
      <w:r>
        <w:fldChar w:fldCharType="separate"/>
      </w:r>
      <w:r>
        <w:rPr>
          <w:rFonts w:hint="eastAsia" w:ascii="宋体" w:hAnsi="宋体" w:eastAsia="宋体" w:cs="宋体"/>
          <w:color w:val="000000"/>
          <w:sz w:val="24"/>
        </w:rPr>
        <w:t>订单详情查询接口</w:t>
      </w:r>
      <w:r>
        <w:rPr>
          <w:rFonts w:hint="eastAsia" w:ascii="宋体" w:hAnsi="宋体" w:eastAsia="宋体" w:cs="宋体"/>
          <w:color w:val="000000"/>
          <w:sz w:val="24"/>
        </w:rPr>
        <w:fldChar w:fldCharType="end"/>
      </w:r>
      <w:r>
        <w:rPr>
          <w:rFonts w:hint="eastAsia" w:ascii="宋体" w:hAnsi="宋体" w:eastAsia="宋体" w:cs="宋体"/>
          <w:color w:val="000000"/>
          <w:sz w:val="24"/>
        </w:rPr>
        <w:t>查询该订单处理结果，若无最终结果（下单失败或下单成功），渠道方不能将订单以失败退款或成功处理；若查询订单为不存在，需重发订单创建请求。</w:t>
      </w:r>
    </w:p>
    <w:p>
      <w:pPr>
        <w:pStyle w:val="9"/>
        <w:spacing w:before="0" w:after="0" w:line="360" w:lineRule="auto"/>
        <w:rPr>
          <w:rFonts w:ascii="宋体" w:hAnsi="宋体" w:cs="宋体"/>
          <w:color w:val="000000"/>
          <w:sz w:val="24"/>
          <w:szCs w:val="24"/>
        </w:rPr>
      </w:pPr>
      <w:r>
        <w:rPr>
          <w:rFonts w:hint="eastAsia" w:ascii="宋体" w:hAnsi="宋体" w:cs="宋体"/>
          <w:color w:val="000000"/>
          <w:sz w:val="24"/>
          <w:szCs w:val="24"/>
        </w:rPr>
        <w:t>4.2.4.3</w:t>
      </w:r>
      <w:r>
        <w:rPr>
          <w:rFonts w:hint="eastAsia" w:ascii="宋体" w:hAnsi="宋体" w:cs="宋体"/>
          <w:sz w:val="24"/>
          <w:szCs w:val="24"/>
          <w:lang w:val="en-US"/>
        </w:rPr>
        <w:t>查询</w:t>
      </w:r>
      <w:r>
        <w:rPr>
          <w:rFonts w:hint="eastAsia" w:ascii="宋体" w:hAnsi="宋体" w:cs="宋体"/>
          <w:color w:val="000000"/>
          <w:sz w:val="24"/>
          <w:szCs w:val="24"/>
        </w:rPr>
        <w:t>订单详情</w:t>
      </w:r>
    </w:p>
    <w:p>
      <w:pPr>
        <w:pStyle w:val="54"/>
        <w:spacing w:line="360" w:lineRule="auto"/>
        <w:rPr>
          <w:rFonts w:ascii="宋体" w:hAnsi="宋体" w:eastAsia="宋体" w:cs="宋体"/>
          <w:color w:val="000000"/>
          <w:sz w:val="24"/>
        </w:rPr>
      </w:pPr>
      <w:r>
        <w:rPr>
          <w:rFonts w:hint="eastAsia" w:ascii="宋体" w:hAnsi="宋体" w:eastAsia="宋体" w:cs="宋体"/>
          <w:color w:val="000000"/>
          <w:sz w:val="24"/>
        </w:rPr>
        <w:t>对接OTA接口，获取指定订单的详情和状态。</w:t>
      </w:r>
    </w:p>
    <w:p>
      <w:pPr>
        <w:pStyle w:val="9"/>
        <w:spacing w:before="0" w:after="0" w:line="360" w:lineRule="auto"/>
        <w:rPr>
          <w:rFonts w:ascii="宋体" w:hAnsi="宋体" w:cs="宋体"/>
          <w:color w:val="000000"/>
          <w:sz w:val="24"/>
          <w:szCs w:val="24"/>
        </w:rPr>
      </w:pPr>
      <w:r>
        <w:rPr>
          <w:rFonts w:hint="eastAsia" w:ascii="宋体" w:hAnsi="宋体" w:cs="宋体"/>
          <w:color w:val="000000"/>
          <w:sz w:val="24"/>
          <w:szCs w:val="24"/>
        </w:rPr>
        <w:t>4.2.4.4退订订单</w:t>
      </w:r>
    </w:p>
    <w:p>
      <w:pPr>
        <w:spacing w:line="360" w:lineRule="auto"/>
        <w:ind w:left="210" w:leftChars="100" w:firstLine="240" w:firstLineChars="100"/>
        <w:rPr>
          <w:rFonts w:ascii="宋体" w:hAnsi="宋体" w:cs="宋体"/>
          <w:color w:val="000000"/>
          <w:sz w:val="24"/>
          <w:szCs w:val="24"/>
        </w:rPr>
      </w:pPr>
      <w:r>
        <w:rPr>
          <w:rFonts w:hint="eastAsia" w:ascii="宋体" w:hAnsi="宋体" w:cs="宋体"/>
          <w:color w:val="000000"/>
          <w:sz w:val="24"/>
          <w:szCs w:val="24"/>
        </w:rPr>
        <w:t>对接OTA接口，申请订单退订。</w:t>
      </w:r>
    </w:p>
    <w:p>
      <w:pPr>
        <w:spacing w:line="360" w:lineRule="auto"/>
        <w:ind w:left="210" w:leftChars="100" w:firstLine="240" w:firstLineChars="100"/>
        <w:rPr>
          <w:rFonts w:ascii="宋体" w:hAnsi="宋体" w:cs="宋体"/>
          <w:color w:val="000000"/>
          <w:sz w:val="24"/>
          <w:szCs w:val="24"/>
        </w:rPr>
      </w:pPr>
      <w:r>
        <w:rPr>
          <w:rFonts w:hint="eastAsia" w:ascii="宋体" w:hAnsi="宋体" w:cs="宋体"/>
          <w:color w:val="000000"/>
          <w:sz w:val="24"/>
          <w:szCs w:val="24"/>
        </w:rPr>
        <w:t>在没有接收到</w:t>
      </w:r>
      <w:r>
        <w:fldChar w:fldCharType="begin"/>
      </w:r>
      <w:r>
        <w:instrText xml:space="preserve"> HYPERLINK \l "订单退订处理结果通知" </w:instrText>
      </w:r>
      <w:r>
        <w:fldChar w:fldCharType="separate"/>
      </w:r>
      <w:r>
        <w:rPr>
          <w:rFonts w:hint="eastAsia" w:ascii="宋体" w:hAnsi="宋体" w:cs="宋体"/>
          <w:color w:val="000000"/>
          <w:sz w:val="24"/>
          <w:szCs w:val="24"/>
        </w:rPr>
        <w:t>订单退订处理结果</w:t>
      </w:r>
      <w:r>
        <w:rPr>
          <w:rFonts w:hint="eastAsia" w:ascii="宋体" w:hAnsi="宋体" w:cs="宋体"/>
          <w:color w:val="000000"/>
          <w:sz w:val="24"/>
          <w:szCs w:val="24"/>
        </w:rPr>
        <w:fldChar w:fldCharType="end"/>
      </w:r>
      <w:r>
        <w:rPr>
          <w:rFonts w:hint="eastAsia" w:ascii="宋体" w:hAnsi="宋体" w:cs="宋体"/>
          <w:color w:val="000000"/>
          <w:sz w:val="24"/>
          <w:szCs w:val="24"/>
        </w:rPr>
        <w:t>通知前，必须通过</w:t>
      </w:r>
      <w:r>
        <w:fldChar w:fldCharType="begin"/>
      </w:r>
      <w:r>
        <w:instrText xml:space="preserve"> HYPERLINK \l "订单退订查询接口" </w:instrText>
      </w:r>
      <w:r>
        <w:fldChar w:fldCharType="separate"/>
      </w:r>
      <w:r>
        <w:rPr>
          <w:rFonts w:hint="eastAsia" w:ascii="宋体" w:hAnsi="宋体" w:cs="宋体"/>
          <w:color w:val="000000"/>
          <w:sz w:val="24"/>
          <w:szCs w:val="24"/>
        </w:rPr>
        <w:t>订单退订查询接口</w:t>
      </w:r>
      <w:r>
        <w:rPr>
          <w:rFonts w:hint="eastAsia" w:ascii="宋体" w:hAnsi="宋体" w:cs="宋体"/>
          <w:color w:val="000000"/>
          <w:sz w:val="24"/>
          <w:szCs w:val="24"/>
        </w:rPr>
        <w:fldChar w:fldCharType="end"/>
      </w:r>
      <w:r>
        <w:rPr>
          <w:rFonts w:hint="eastAsia" w:ascii="宋体" w:hAnsi="宋体" w:cs="宋体"/>
          <w:color w:val="000000"/>
          <w:sz w:val="24"/>
          <w:szCs w:val="24"/>
        </w:rPr>
        <w:t>查询该退订处理结果，若无最终结果（退订失败或退订成功），渠道方不能将退订申请以失败退款或成功处理；若订单退订申请查询为不存在，需重发订单退订请求。</w:t>
      </w:r>
    </w:p>
    <w:p>
      <w:pPr>
        <w:pStyle w:val="9"/>
        <w:spacing w:before="0" w:after="0" w:line="360" w:lineRule="auto"/>
        <w:rPr>
          <w:rFonts w:ascii="宋体" w:hAnsi="宋体" w:cs="宋体"/>
          <w:color w:val="000000"/>
          <w:sz w:val="24"/>
          <w:szCs w:val="24"/>
          <w:lang w:val="en-US"/>
        </w:rPr>
      </w:pPr>
      <w:r>
        <w:rPr>
          <w:rFonts w:hint="eastAsia" w:ascii="宋体" w:hAnsi="宋体" w:cs="宋体"/>
          <w:color w:val="000000"/>
          <w:sz w:val="24"/>
          <w:szCs w:val="24"/>
          <w:lang w:val="en-US"/>
        </w:rPr>
        <w:t>4.2.4.5查询订单退订</w:t>
      </w:r>
    </w:p>
    <w:p>
      <w:pPr>
        <w:spacing w:line="360" w:lineRule="auto"/>
        <w:ind w:left="210" w:leftChars="100" w:firstLine="240" w:firstLineChars="100"/>
        <w:rPr>
          <w:rFonts w:ascii="宋体" w:hAnsi="宋体" w:cs="宋体"/>
          <w:color w:val="000000"/>
          <w:sz w:val="24"/>
          <w:szCs w:val="24"/>
        </w:rPr>
      </w:pPr>
      <w:r>
        <w:rPr>
          <w:rFonts w:hint="eastAsia" w:ascii="宋体" w:hAnsi="宋体" w:cs="宋体"/>
          <w:color w:val="000000"/>
          <w:sz w:val="24"/>
          <w:szCs w:val="24"/>
        </w:rPr>
        <w:t>对接OTA接口，查询订单退订申请的处理结果。</w:t>
      </w:r>
    </w:p>
    <w:p>
      <w:pPr>
        <w:pStyle w:val="7"/>
        <w:spacing w:before="0" w:after="0" w:line="360" w:lineRule="auto"/>
        <w:rPr>
          <w:rFonts w:ascii="宋体" w:hAnsi="宋体" w:eastAsia="宋体" w:cs="宋体"/>
          <w:sz w:val="24"/>
          <w:szCs w:val="24"/>
          <w:lang w:val="en-US"/>
        </w:rPr>
      </w:pPr>
      <w:r>
        <w:rPr>
          <w:rFonts w:hint="eastAsia" w:ascii="宋体" w:hAnsi="宋体" w:eastAsia="宋体" w:cs="宋体"/>
          <w:sz w:val="24"/>
          <w:szCs w:val="24"/>
          <w:lang w:val="en-US"/>
        </w:rPr>
        <w:t>4.2.5凭证</w:t>
      </w:r>
    </w:p>
    <w:p>
      <w:pPr>
        <w:pStyle w:val="9"/>
        <w:spacing w:before="0" w:after="0" w:line="360" w:lineRule="auto"/>
        <w:rPr>
          <w:rFonts w:ascii="宋体" w:hAnsi="宋体" w:cs="宋体"/>
          <w:color w:val="000000"/>
          <w:sz w:val="24"/>
          <w:szCs w:val="24"/>
        </w:rPr>
      </w:pPr>
      <w:r>
        <w:rPr>
          <w:rFonts w:hint="eastAsia" w:ascii="宋体" w:hAnsi="宋体" w:cs="宋体"/>
          <w:color w:val="000000"/>
          <w:sz w:val="24"/>
          <w:szCs w:val="24"/>
        </w:rPr>
        <w:t>4.2.5.1获取门票凭证</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对接OTA接口，通过凭证码获取门票凭证详情。</w:t>
      </w:r>
    </w:p>
    <w:p>
      <w:pPr>
        <w:pStyle w:val="9"/>
        <w:spacing w:before="0" w:after="0" w:line="360" w:lineRule="auto"/>
        <w:rPr>
          <w:rFonts w:ascii="宋体" w:hAnsi="宋体" w:cs="宋体"/>
          <w:color w:val="000000"/>
          <w:sz w:val="24"/>
          <w:szCs w:val="24"/>
        </w:rPr>
      </w:pPr>
      <w:bookmarkStart w:id="198" w:name="_Toc45783667"/>
      <w:r>
        <w:rPr>
          <w:rFonts w:hint="eastAsia" w:ascii="宋体" w:hAnsi="宋体" w:cs="宋体"/>
          <w:color w:val="000000"/>
          <w:sz w:val="24"/>
          <w:szCs w:val="24"/>
        </w:rPr>
        <w:t>4.2.5.2</w:t>
      </w:r>
      <w:bookmarkEnd w:id="198"/>
      <w:r>
        <w:rPr>
          <w:rFonts w:hint="eastAsia" w:ascii="宋体" w:hAnsi="宋体" w:cs="宋体"/>
          <w:color w:val="000000"/>
          <w:sz w:val="24"/>
          <w:szCs w:val="24"/>
        </w:rPr>
        <w:t>获取消费券凭证</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对接OTA接口，通过凭证码获取消费券凭证详情。</w:t>
      </w:r>
    </w:p>
    <w:p>
      <w:pPr>
        <w:pStyle w:val="9"/>
        <w:spacing w:before="0" w:after="0" w:line="360" w:lineRule="auto"/>
        <w:rPr>
          <w:rFonts w:ascii="宋体" w:hAnsi="宋体" w:cs="宋体"/>
          <w:color w:val="000000"/>
          <w:sz w:val="24"/>
          <w:szCs w:val="24"/>
        </w:rPr>
      </w:pPr>
      <w:bookmarkStart w:id="199" w:name="_Toc45783668"/>
      <w:r>
        <w:rPr>
          <w:rFonts w:hint="eastAsia" w:ascii="宋体" w:hAnsi="宋体" w:cs="宋体"/>
          <w:color w:val="000000"/>
          <w:sz w:val="24"/>
          <w:szCs w:val="24"/>
        </w:rPr>
        <w:t>4.2.5.3</w:t>
      </w:r>
      <w:bookmarkEnd w:id="199"/>
      <w:r>
        <w:rPr>
          <w:rFonts w:hint="eastAsia" w:ascii="宋体" w:hAnsi="宋体" w:cs="宋体"/>
          <w:color w:val="000000"/>
          <w:sz w:val="24"/>
          <w:szCs w:val="24"/>
        </w:rPr>
        <w:t>获取套餐凭证</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对接OTA接口，通过凭证码获取门票凭证详情。</w:t>
      </w:r>
    </w:p>
    <w:p>
      <w:pPr>
        <w:pStyle w:val="9"/>
        <w:spacing w:before="0" w:after="0" w:line="360" w:lineRule="auto"/>
        <w:rPr>
          <w:rFonts w:ascii="宋体" w:hAnsi="宋体" w:cs="宋体"/>
          <w:color w:val="000000"/>
          <w:sz w:val="24"/>
          <w:szCs w:val="24"/>
        </w:rPr>
      </w:pPr>
      <w:bookmarkStart w:id="200" w:name="_Toc45783669"/>
      <w:r>
        <w:rPr>
          <w:rFonts w:hint="eastAsia" w:ascii="宋体" w:hAnsi="宋体" w:cs="宋体"/>
          <w:color w:val="000000"/>
          <w:sz w:val="24"/>
          <w:szCs w:val="24"/>
        </w:rPr>
        <w:t>4.2.5.4</w:t>
      </w:r>
      <w:bookmarkEnd w:id="200"/>
      <w:r>
        <w:rPr>
          <w:rFonts w:hint="eastAsia" w:ascii="宋体" w:hAnsi="宋体" w:cs="宋体"/>
          <w:sz w:val="24"/>
          <w:szCs w:val="24"/>
          <w:lang w:val="en-US"/>
        </w:rPr>
        <w:t>获取</w:t>
      </w:r>
      <w:r>
        <w:rPr>
          <w:rFonts w:hint="eastAsia" w:ascii="宋体" w:hAnsi="宋体" w:cs="宋体"/>
          <w:color w:val="000000"/>
          <w:sz w:val="24"/>
          <w:szCs w:val="24"/>
        </w:rPr>
        <w:t>电子年卡凭证</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对接OTA接口，通过凭证码获电子年卡凭证详情。</w:t>
      </w:r>
    </w:p>
    <w:p>
      <w:pPr>
        <w:pStyle w:val="9"/>
        <w:spacing w:before="0" w:after="0" w:line="360" w:lineRule="auto"/>
        <w:rPr>
          <w:rFonts w:ascii="宋体" w:hAnsi="宋体" w:cs="宋体"/>
          <w:color w:val="000000"/>
          <w:sz w:val="24"/>
          <w:szCs w:val="24"/>
        </w:rPr>
      </w:pPr>
      <w:bookmarkStart w:id="201" w:name="_Toc45783670"/>
      <w:r>
        <w:rPr>
          <w:rFonts w:hint="eastAsia" w:ascii="宋体" w:hAnsi="宋体" w:cs="宋体"/>
          <w:color w:val="000000"/>
          <w:sz w:val="24"/>
          <w:szCs w:val="24"/>
        </w:rPr>
        <w:t>4.2.5.5</w:t>
      </w:r>
      <w:bookmarkEnd w:id="201"/>
      <w:r>
        <w:rPr>
          <w:rFonts w:hint="eastAsia" w:ascii="宋体" w:hAnsi="宋体" w:cs="宋体"/>
          <w:sz w:val="24"/>
          <w:szCs w:val="24"/>
          <w:lang w:val="en-US"/>
        </w:rPr>
        <w:t>获取</w:t>
      </w:r>
      <w:r>
        <w:rPr>
          <w:rFonts w:hint="eastAsia" w:ascii="宋体" w:hAnsi="宋体" w:cs="宋体"/>
          <w:color w:val="000000"/>
          <w:sz w:val="24"/>
          <w:szCs w:val="24"/>
        </w:rPr>
        <w:t>场馆凭证</w:t>
      </w:r>
    </w:p>
    <w:p>
      <w:pPr>
        <w:numPr>
          <w:ilvl w:val="0"/>
          <w:numId w:val="12"/>
        </w:numPr>
        <w:spacing w:line="360" w:lineRule="auto"/>
        <w:rPr>
          <w:rFonts w:ascii="宋体" w:hAnsi="宋体" w:cs="宋体"/>
          <w:color w:val="000000"/>
          <w:sz w:val="24"/>
          <w:szCs w:val="24"/>
        </w:rPr>
      </w:pPr>
      <w:r>
        <w:rPr>
          <w:rFonts w:hint="eastAsia" w:ascii="宋体" w:hAnsi="宋体" w:cs="宋体"/>
          <w:color w:val="000000"/>
          <w:sz w:val="24"/>
          <w:szCs w:val="24"/>
        </w:rPr>
        <w:t>对接OTA接口，通过凭证码获取场馆凭证详情。</w:t>
      </w:r>
    </w:p>
    <w:p>
      <w:pPr>
        <w:pStyle w:val="9"/>
        <w:spacing w:before="0" w:after="0" w:line="360" w:lineRule="auto"/>
        <w:rPr>
          <w:rFonts w:ascii="宋体" w:hAnsi="宋体" w:cs="宋体"/>
          <w:color w:val="000000"/>
          <w:sz w:val="24"/>
          <w:szCs w:val="24"/>
        </w:rPr>
      </w:pPr>
      <w:bookmarkStart w:id="202" w:name="_Toc45783671"/>
      <w:r>
        <w:rPr>
          <w:rFonts w:hint="eastAsia" w:ascii="宋体" w:hAnsi="宋体" w:cs="宋体"/>
          <w:color w:val="000000"/>
          <w:sz w:val="24"/>
          <w:szCs w:val="24"/>
        </w:rPr>
        <w:t>4.2.5.6</w:t>
      </w:r>
      <w:bookmarkEnd w:id="202"/>
      <w:r>
        <w:rPr>
          <w:rFonts w:hint="eastAsia" w:ascii="宋体" w:hAnsi="宋体" w:cs="宋体"/>
          <w:sz w:val="24"/>
          <w:szCs w:val="24"/>
          <w:lang w:val="en-US"/>
        </w:rPr>
        <w:t>凭证</w:t>
      </w:r>
      <w:r>
        <w:rPr>
          <w:rFonts w:hint="eastAsia" w:ascii="宋体" w:hAnsi="宋体" w:cs="宋体"/>
          <w:color w:val="000000"/>
          <w:sz w:val="24"/>
          <w:szCs w:val="24"/>
        </w:rPr>
        <w:t>重新发码</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对接OTA接口，申请凭证重新发码。</w:t>
      </w:r>
    </w:p>
    <w:p>
      <w:pPr>
        <w:pStyle w:val="7"/>
        <w:spacing w:before="0" w:after="0" w:line="360" w:lineRule="auto"/>
        <w:rPr>
          <w:rFonts w:ascii="宋体" w:hAnsi="宋体" w:eastAsia="宋体" w:cs="宋体"/>
          <w:sz w:val="24"/>
          <w:szCs w:val="24"/>
          <w:lang w:val="en-US"/>
        </w:rPr>
      </w:pPr>
      <w:r>
        <w:rPr>
          <w:rFonts w:hint="eastAsia" w:ascii="宋体" w:hAnsi="宋体" w:eastAsia="宋体" w:cs="宋体"/>
          <w:sz w:val="24"/>
          <w:szCs w:val="24"/>
          <w:lang w:val="en-US"/>
        </w:rPr>
        <w:t>4.2.6通知</w:t>
      </w:r>
    </w:p>
    <w:p>
      <w:pPr>
        <w:pStyle w:val="9"/>
        <w:spacing w:before="0" w:after="0" w:line="360" w:lineRule="auto"/>
        <w:rPr>
          <w:rFonts w:ascii="宋体" w:hAnsi="宋体" w:cs="宋体"/>
          <w:color w:val="000000"/>
          <w:sz w:val="24"/>
          <w:szCs w:val="24"/>
        </w:rPr>
      </w:pPr>
      <w:bookmarkStart w:id="203" w:name="_Toc45783673"/>
      <w:r>
        <w:rPr>
          <w:rFonts w:hint="eastAsia" w:ascii="宋体" w:hAnsi="宋体" w:cs="宋体"/>
          <w:color w:val="000000"/>
          <w:sz w:val="24"/>
          <w:szCs w:val="24"/>
        </w:rPr>
        <w:t>4.2.6.1</w:t>
      </w:r>
      <w:bookmarkEnd w:id="203"/>
      <w:r>
        <w:rPr>
          <w:rFonts w:hint="eastAsia" w:ascii="宋体" w:hAnsi="宋体" w:cs="宋体"/>
          <w:sz w:val="24"/>
          <w:szCs w:val="24"/>
          <w:lang w:val="en-US"/>
        </w:rPr>
        <w:t>交易</w:t>
      </w:r>
      <w:r>
        <w:rPr>
          <w:rFonts w:hint="eastAsia" w:ascii="宋体" w:hAnsi="宋体" w:cs="宋体"/>
          <w:color w:val="000000"/>
          <w:sz w:val="24"/>
          <w:szCs w:val="24"/>
        </w:rPr>
        <w:t>通知</w:t>
      </w:r>
    </w:p>
    <w:p>
      <w:pPr>
        <w:pStyle w:val="454"/>
        <w:numPr>
          <w:ilvl w:val="3"/>
          <w:numId w:val="0"/>
        </w:numPr>
        <w:spacing w:before="0" w:after="0" w:line="360" w:lineRule="auto"/>
        <w:ind w:firstLine="482" w:firstLineChars="200"/>
        <w:outlineLvl w:val="4"/>
        <w:rPr>
          <w:rFonts w:ascii="宋体" w:hAnsi="宋体" w:eastAsia="宋体" w:cs="宋体"/>
          <w:sz w:val="24"/>
          <w:szCs w:val="24"/>
          <w:lang w:val="zh-CN"/>
        </w:rPr>
      </w:pPr>
      <w:r>
        <w:rPr>
          <w:rFonts w:hint="eastAsia" w:ascii="宋体" w:hAnsi="宋体" w:eastAsia="宋体" w:cs="宋体"/>
          <w:sz w:val="24"/>
          <w:szCs w:val="24"/>
        </w:rPr>
        <w:t>4.2.6.1.1</w:t>
      </w:r>
      <w:r>
        <w:rPr>
          <w:rFonts w:hint="eastAsia" w:ascii="宋体" w:hAnsi="宋体" w:eastAsia="宋体" w:cs="宋体"/>
          <w:sz w:val="24"/>
          <w:szCs w:val="24"/>
          <w:lang w:val="zh-CN"/>
        </w:rPr>
        <w:t>订单创建结果通知</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订单创建申请成功后，订单创建结果通过异步通知到渠道。</w:t>
      </w:r>
    </w:p>
    <w:p>
      <w:pPr>
        <w:pStyle w:val="454"/>
        <w:numPr>
          <w:ilvl w:val="3"/>
          <w:numId w:val="0"/>
        </w:numPr>
        <w:spacing w:before="0" w:after="0" w:line="360" w:lineRule="auto"/>
        <w:ind w:firstLine="482" w:firstLineChars="200"/>
        <w:outlineLvl w:val="4"/>
        <w:rPr>
          <w:rFonts w:ascii="宋体" w:hAnsi="宋体" w:eastAsia="宋体" w:cs="宋体"/>
          <w:sz w:val="24"/>
          <w:szCs w:val="24"/>
          <w:lang w:val="zh-CN"/>
        </w:rPr>
      </w:pPr>
      <w:r>
        <w:rPr>
          <w:rFonts w:hint="eastAsia" w:ascii="宋体" w:hAnsi="宋体" w:eastAsia="宋体" w:cs="宋体"/>
          <w:sz w:val="24"/>
          <w:szCs w:val="24"/>
        </w:rPr>
        <w:t>4.2.6.1.2</w:t>
      </w:r>
      <w:r>
        <w:rPr>
          <w:rFonts w:hint="eastAsia" w:ascii="宋体" w:hAnsi="宋体" w:eastAsia="宋体" w:cs="宋体"/>
          <w:sz w:val="24"/>
          <w:szCs w:val="24"/>
          <w:lang w:val="zh-CN"/>
        </w:rPr>
        <w:t>订单退订处理结果通知</w:t>
      </w:r>
    </w:p>
    <w:p>
      <w:pPr>
        <w:spacing w:line="360" w:lineRule="auto"/>
        <w:ind w:firstLine="480" w:firstLineChars="200"/>
        <w:rPr>
          <w:rFonts w:ascii="宋体" w:hAnsi="宋体" w:cs="宋体"/>
          <w:sz w:val="24"/>
          <w:szCs w:val="24"/>
        </w:rPr>
      </w:pPr>
      <w:r>
        <w:rPr>
          <w:rFonts w:hint="eastAsia" w:ascii="宋体" w:hAnsi="宋体" w:cs="宋体"/>
          <w:color w:val="000000"/>
          <w:sz w:val="24"/>
          <w:szCs w:val="24"/>
        </w:rPr>
        <w:t>订单退订申请成功后，订单退订结果通过异步通知到渠道。</w:t>
      </w:r>
    </w:p>
    <w:p>
      <w:pPr>
        <w:pStyle w:val="9"/>
        <w:spacing w:before="0" w:after="0" w:line="360" w:lineRule="auto"/>
        <w:rPr>
          <w:rFonts w:ascii="宋体" w:hAnsi="宋体" w:cs="宋体"/>
          <w:color w:val="000000"/>
          <w:sz w:val="24"/>
          <w:szCs w:val="24"/>
        </w:rPr>
      </w:pPr>
      <w:bookmarkStart w:id="204" w:name="_Toc45783674"/>
      <w:r>
        <w:rPr>
          <w:rFonts w:hint="eastAsia" w:ascii="宋体" w:hAnsi="宋体" w:cs="宋体"/>
          <w:color w:val="000000"/>
          <w:sz w:val="24"/>
          <w:szCs w:val="24"/>
        </w:rPr>
        <w:t>4.2.6.2</w:t>
      </w:r>
      <w:bookmarkEnd w:id="204"/>
      <w:r>
        <w:rPr>
          <w:rFonts w:hint="eastAsia" w:ascii="宋体" w:hAnsi="宋体" w:cs="宋体"/>
          <w:sz w:val="24"/>
          <w:szCs w:val="24"/>
          <w:lang w:val="en-US"/>
        </w:rPr>
        <w:t>凭证</w:t>
      </w:r>
      <w:r>
        <w:rPr>
          <w:rFonts w:hint="eastAsia" w:ascii="宋体" w:hAnsi="宋体" w:cs="宋体"/>
          <w:color w:val="000000"/>
          <w:sz w:val="24"/>
          <w:szCs w:val="24"/>
        </w:rPr>
        <w:t>核销通知</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用户购买商品获取到凭证后，到达景点消费完凭证，核销结果会通过异步通知到渠道。</w:t>
      </w:r>
    </w:p>
    <w:p>
      <w:pPr>
        <w:pStyle w:val="6"/>
        <w:spacing w:before="0" w:after="0" w:line="360" w:lineRule="auto"/>
        <w:rPr>
          <w:rFonts w:ascii="宋体" w:hAnsi="宋体" w:cs="宋体"/>
          <w:sz w:val="24"/>
          <w:szCs w:val="24"/>
          <w:lang w:val="en-US"/>
        </w:rPr>
      </w:pPr>
      <w:bookmarkStart w:id="205" w:name="_Toc31778"/>
      <w:bookmarkStart w:id="206" w:name="_Toc8351"/>
      <w:r>
        <w:rPr>
          <w:rFonts w:hint="eastAsia" w:ascii="宋体" w:hAnsi="宋体" w:cs="宋体"/>
          <w:sz w:val="24"/>
          <w:szCs w:val="24"/>
          <w:lang w:val="en-US"/>
        </w:rPr>
        <w:t>4.3 后台管理平台建设</w:t>
      </w:r>
      <w:bookmarkEnd w:id="205"/>
      <w:bookmarkEnd w:id="206"/>
    </w:p>
    <w:p>
      <w:pPr>
        <w:pStyle w:val="7"/>
        <w:spacing w:before="0" w:after="0" w:line="360" w:lineRule="auto"/>
        <w:rPr>
          <w:rFonts w:ascii="宋体" w:hAnsi="宋体" w:eastAsia="宋体" w:cs="宋体"/>
          <w:sz w:val="24"/>
          <w:szCs w:val="24"/>
          <w:lang w:val="en-US"/>
        </w:rPr>
      </w:pPr>
      <w:r>
        <w:rPr>
          <w:rFonts w:hint="eastAsia" w:ascii="宋体" w:hAnsi="宋体" w:eastAsia="宋体" w:cs="宋体"/>
          <w:sz w:val="24"/>
          <w:szCs w:val="24"/>
          <w:lang w:val="en-US"/>
        </w:rPr>
        <w:t>4.3.1 订单统计</w:t>
      </w:r>
    </w:p>
    <w:p>
      <w:pPr>
        <w:pStyle w:val="54"/>
        <w:spacing w:line="360" w:lineRule="auto"/>
        <w:rPr>
          <w:rFonts w:ascii="宋体" w:hAnsi="宋体" w:eastAsia="宋体" w:cs="宋体"/>
          <w:color w:val="000000"/>
          <w:sz w:val="24"/>
        </w:rPr>
      </w:pPr>
      <w:r>
        <w:rPr>
          <w:rFonts w:hint="eastAsia" w:ascii="宋体" w:hAnsi="宋体" w:eastAsia="宋体" w:cs="宋体"/>
          <w:color w:val="000000"/>
          <w:sz w:val="24"/>
        </w:rPr>
        <w:t>根据不同渠道，根据产品类型、手机号、订单号、身份证号、下单时间、入园时间、订单状态等多个维度查询售票订单情况。</w:t>
      </w:r>
    </w:p>
    <w:p>
      <w:pPr>
        <w:pStyle w:val="7"/>
        <w:spacing w:before="0" w:after="0" w:line="360" w:lineRule="auto"/>
        <w:rPr>
          <w:rFonts w:ascii="宋体" w:hAnsi="宋体" w:eastAsia="宋体" w:cs="宋体"/>
          <w:sz w:val="24"/>
          <w:szCs w:val="24"/>
          <w:lang w:val="en-US"/>
        </w:rPr>
      </w:pPr>
      <w:r>
        <w:rPr>
          <w:rFonts w:hint="eastAsia" w:ascii="宋体" w:hAnsi="宋体" w:eastAsia="宋体" w:cs="宋体"/>
          <w:sz w:val="24"/>
          <w:szCs w:val="24"/>
          <w:lang w:val="en-US"/>
        </w:rPr>
        <w:t>4.3.2 销售汇总报表</w:t>
      </w:r>
    </w:p>
    <w:p>
      <w:pPr>
        <w:pStyle w:val="54"/>
        <w:spacing w:line="360" w:lineRule="auto"/>
        <w:rPr>
          <w:rFonts w:ascii="宋体" w:hAnsi="宋体" w:eastAsia="宋体" w:cs="宋体"/>
          <w:color w:val="000000"/>
          <w:sz w:val="24"/>
        </w:rPr>
      </w:pPr>
      <w:r>
        <w:rPr>
          <w:rFonts w:hint="eastAsia" w:ascii="宋体" w:hAnsi="宋体" w:eastAsia="宋体" w:cs="宋体"/>
          <w:color w:val="000000"/>
          <w:sz w:val="24"/>
        </w:rPr>
        <w:t>根据不同渠道、支付类型，按日统计不通商品的销售数据。</w:t>
      </w:r>
    </w:p>
    <w:p>
      <w:pPr>
        <w:pStyle w:val="7"/>
        <w:spacing w:before="0" w:after="0" w:line="360" w:lineRule="auto"/>
        <w:rPr>
          <w:rFonts w:ascii="宋体" w:hAnsi="宋体" w:eastAsia="宋体" w:cs="宋体"/>
          <w:sz w:val="24"/>
          <w:szCs w:val="24"/>
          <w:lang w:val="en-US"/>
        </w:rPr>
      </w:pPr>
      <w:r>
        <w:rPr>
          <w:rFonts w:hint="eastAsia" w:ascii="宋体" w:hAnsi="宋体" w:eastAsia="宋体" w:cs="宋体"/>
          <w:sz w:val="24"/>
          <w:szCs w:val="24"/>
          <w:lang w:val="en-US"/>
        </w:rPr>
        <w:t>4.3.3 后台退款</w:t>
      </w:r>
    </w:p>
    <w:p>
      <w:pPr>
        <w:pStyle w:val="54"/>
        <w:spacing w:line="360" w:lineRule="auto"/>
        <w:rPr>
          <w:rFonts w:ascii="宋体" w:hAnsi="宋体" w:eastAsia="宋体" w:cs="宋体"/>
          <w:color w:val="000000"/>
          <w:sz w:val="24"/>
        </w:rPr>
      </w:pPr>
      <w:r>
        <w:rPr>
          <w:rFonts w:hint="eastAsia" w:ascii="宋体" w:hAnsi="宋体" w:eastAsia="宋体" w:cs="宋体"/>
          <w:sz w:val="24"/>
        </w:rPr>
        <w:t>后台管理人员根据用户订单号查询订单状态并执行退款操作</w:t>
      </w:r>
      <w:r>
        <w:rPr>
          <w:rFonts w:hint="eastAsia" w:ascii="宋体" w:hAnsi="宋体" w:eastAsia="宋体" w:cs="宋体"/>
          <w:color w:val="000000"/>
          <w:sz w:val="24"/>
        </w:rPr>
        <w:t>。</w:t>
      </w:r>
    </w:p>
    <w:p>
      <w:pPr>
        <w:pStyle w:val="6"/>
        <w:spacing w:before="0" w:after="0" w:line="360" w:lineRule="auto"/>
        <w:rPr>
          <w:rFonts w:ascii="宋体" w:hAnsi="宋体" w:cs="宋体"/>
          <w:sz w:val="24"/>
          <w:szCs w:val="24"/>
          <w:lang w:val="en-US"/>
        </w:rPr>
      </w:pPr>
      <w:bookmarkStart w:id="207" w:name="_Toc72141968"/>
      <w:bookmarkStart w:id="208" w:name="_Toc27311"/>
      <w:bookmarkStart w:id="209" w:name="_Toc26183"/>
      <w:r>
        <w:rPr>
          <w:rFonts w:hint="eastAsia" w:ascii="宋体" w:hAnsi="宋体" w:cs="宋体"/>
          <w:sz w:val="24"/>
          <w:szCs w:val="24"/>
          <w:lang w:val="en-US"/>
        </w:rPr>
        <w:t>4.4安全控制</w:t>
      </w:r>
      <w:bookmarkEnd w:id="207"/>
      <w:bookmarkEnd w:id="208"/>
      <w:bookmarkEnd w:id="209"/>
    </w:p>
    <w:p>
      <w:pPr>
        <w:pStyle w:val="5"/>
        <w:numPr>
          <w:ilvl w:val="0"/>
          <w:numId w:val="13"/>
        </w:numPr>
        <w:tabs>
          <w:tab w:val="left" w:pos="576"/>
          <w:tab w:val="clear" w:pos="2410"/>
        </w:tabs>
        <w:spacing w:before="0" w:after="0" w:line="360" w:lineRule="auto"/>
        <w:ind w:left="993" w:hanging="567"/>
        <w:rPr>
          <w:rFonts w:ascii="宋体" w:hAnsi="宋体" w:eastAsia="宋体" w:cs="宋体"/>
          <w:b/>
          <w:sz w:val="24"/>
          <w:szCs w:val="24"/>
        </w:rPr>
      </w:pPr>
      <w:bookmarkStart w:id="210" w:name="_Toc7745"/>
      <w:bookmarkStart w:id="211" w:name="_Toc72141970"/>
      <w:bookmarkStart w:id="212" w:name="_Toc8476"/>
      <w:r>
        <w:rPr>
          <w:rFonts w:hint="eastAsia" w:ascii="宋体" w:hAnsi="宋体" w:eastAsia="宋体" w:cs="宋体"/>
          <w:b/>
          <w:sz w:val="24"/>
          <w:szCs w:val="24"/>
        </w:rPr>
        <w:t>风险来源</w:t>
      </w:r>
      <w:bookmarkEnd w:id="210"/>
      <w:bookmarkEnd w:id="211"/>
      <w:bookmarkEnd w:id="212"/>
    </w:p>
    <w:p>
      <w:pPr>
        <w:tabs>
          <w:tab w:val="left" w:pos="560"/>
        </w:tabs>
        <w:spacing w:line="360" w:lineRule="auto"/>
        <w:ind w:firstLine="559" w:firstLineChars="233"/>
        <w:rPr>
          <w:rFonts w:ascii="宋体" w:hAnsi="宋体" w:cs="宋体"/>
          <w:sz w:val="24"/>
          <w:szCs w:val="24"/>
        </w:rPr>
      </w:pPr>
      <w:r>
        <w:rPr>
          <w:rFonts w:hint="eastAsia" w:ascii="宋体" w:hAnsi="宋体" w:cs="宋体"/>
          <w:sz w:val="24"/>
          <w:szCs w:val="24"/>
        </w:rPr>
        <w:t>从系统和应用的角度出发，系统的安全因素可以划分到五个安全层中，即物理层、网络层、系统层、应用层、安全管理层。</w:t>
      </w:r>
      <w:r>
        <w:rPr>
          <w:rFonts w:hint="eastAsia" w:ascii="宋体" w:hAnsi="宋体" w:cs="宋体"/>
          <w:bCs/>
          <w:sz w:val="24"/>
          <w:szCs w:val="24"/>
        </w:rPr>
        <w:t>系统安全风险包括：</w:t>
      </w:r>
      <w:r>
        <w:rPr>
          <w:rFonts w:hint="eastAsia" w:ascii="宋体" w:hAnsi="宋体" w:cs="宋体"/>
          <w:sz w:val="24"/>
          <w:szCs w:val="24"/>
        </w:rPr>
        <w:t>操作系统安全风险、数据库安全风险、Web系统安全风险、桌面应用系统的安全风险、黑客入侵风险。</w:t>
      </w:r>
    </w:p>
    <w:p>
      <w:pPr>
        <w:tabs>
          <w:tab w:val="left" w:pos="560"/>
        </w:tabs>
        <w:spacing w:line="360" w:lineRule="auto"/>
        <w:ind w:firstLine="559" w:firstLineChars="233"/>
        <w:rPr>
          <w:rFonts w:ascii="宋体" w:hAnsi="宋体" w:cs="宋体"/>
          <w:sz w:val="24"/>
          <w:szCs w:val="24"/>
        </w:rPr>
      </w:pPr>
      <w:r>
        <w:rPr>
          <w:rFonts w:hint="eastAsia" w:ascii="宋体" w:hAnsi="宋体" w:cs="宋体"/>
          <w:sz w:val="24"/>
          <w:szCs w:val="24"/>
        </w:rPr>
        <w:t>抛开物理层和网络层的风险，系统层的风险控制是在华侨城梦幻之城售票平台设计之初就必须考虑的重要部分。</w:t>
      </w:r>
    </w:p>
    <w:p>
      <w:pPr>
        <w:pStyle w:val="5"/>
        <w:numPr>
          <w:ilvl w:val="0"/>
          <w:numId w:val="13"/>
        </w:numPr>
        <w:tabs>
          <w:tab w:val="left" w:pos="576"/>
          <w:tab w:val="clear" w:pos="2410"/>
        </w:tabs>
        <w:spacing w:before="0" w:after="0" w:line="360" w:lineRule="auto"/>
        <w:ind w:left="993" w:hanging="567"/>
        <w:rPr>
          <w:rFonts w:ascii="宋体" w:hAnsi="宋体" w:eastAsia="宋体" w:cs="宋体"/>
          <w:b/>
          <w:sz w:val="24"/>
          <w:szCs w:val="24"/>
        </w:rPr>
      </w:pPr>
      <w:bookmarkStart w:id="213" w:name="_Toc252185258"/>
      <w:bookmarkStart w:id="214" w:name="_Toc25674"/>
      <w:bookmarkStart w:id="215" w:name="_Toc72141971"/>
      <w:bookmarkStart w:id="216" w:name="_Toc7085"/>
      <w:r>
        <w:rPr>
          <w:rFonts w:hint="eastAsia" w:ascii="宋体" w:hAnsi="宋体" w:eastAsia="宋体" w:cs="宋体"/>
          <w:b/>
          <w:sz w:val="24"/>
          <w:szCs w:val="24"/>
        </w:rPr>
        <w:t>安全管理</w:t>
      </w:r>
      <w:bookmarkEnd w:id="213"/>
      <w:bookmarkEnd w:id="214"/>
      <w:bookmarkEnd w:id="215"/>
      <w:bookmarkEnd w:id="216"/>
    </w:p>
    <w:p>
      <w:pPr>
        <w:spacing w:line="360" w:lineRule="auto"/>
        <w:ind w:firstLine="460" w:firstLineChars="192"/>
        <w:rPr>
          <w:rFonts w:ascii="宋体" w:hAnsi="宋体" w:cs="宋体"/>
          <w:sz w:val="24"/>
          <w:szCs w:val="24"/>
        </w:rPr>
      </w:pPr>
      <w:r>
        <w:rPr>
          <w:rFonts w:hint="eastAsia" w:ascii="宋体" w:hAnsi="宋体" w:cs="宋体"/>
          <w:sz w:val="24"/>
          <w:szCs w:val="24"/>
        </w:rPr>
        <w:t>管理与技术两者相辅相成，但是总的来看，技术不过是实现管理的方法之一。技术可以提高运营效率、降低风险、提高收益。但是技术不能超越管理理论和管理实践而存在。安全系统的实施、维护离不开安全管理的保障，缺少安全管理的安全措施只能成为摆设。因此有必要制定一个完善的安全管理体系，并予以贯彻执行，这是整个安全体系中不可缺少的部分。</w:t>
      </w:r>
    </w:p>
    <w:p>
      <w:pPr>
        <w:pStyle w:val="5"/>
        <w:numPr>
          <w:ilvl w:val="0"/>
          <w:numId w:val="13"/>
        </w:numPr>
        <w:tabs>
          <w:tab w:val="left" w:pos="576"/>
          <w:tab w:val="clear" w:pos="2410"/>
        </w:tabs>
        <w:spacing w:before="0" w:after="0" w:line="360" w:lineRule="auto"/>
        <w:ind w:left="993" w:hanging="567"/>
        <w:rPr>
          <w:rFonts w:ascii="宋体" w:hAnsi="宋体" w:eastAsia="宋体" w:cs="宋体"/>
          <w:b/>
          <w:sz w:val="24"/>
          <w:szCs w:val="24"/>
        </w:rPr>
      </w:pPr>
      <w:bookmarkStart w:id="217" w:name="_Toc13007"/>
      <w:bookmarkStart w:id="218" w:name="_Toc72141972"/>
      <w:bookmarkStart w:id="219" w:name="_Toc24911"/>
      <w:r>
        <w:rPr>
          <w:rFonts w:hint="eastAsia" w:ascii="宋体" w:hAnsi="宋体" w:eastAsia="宋体" w:cs="宋体"/>
          <w:b/>
          <w:sz w:val="24"/>
          <w:szCs w:val="24"/>
        </w:rPr>
        <w:t>人员安全</w:t>
      </w:r>
      <w:bookmarkEnd w:id="217"/>
      <w:bookmarkEnd w:id="218"/>
      <w:bookmarkEnd w:id="219"/>
    </w:p>
    <w:p>
      <w:pPr>
        <w:spacing w:line="360" w:lineRule="auto"/>
        <w:ind w:firstLine="460" w:firstLineChars="192"/>
        <w:rPr>
          <w:rFonts w:ascii="宋体" w:hAnsi="宋体" w:cs="宋体"/>
          <w:sz w:val="24"/>
          <w:szCs w:val="24"/>
        </w:rPr>
      </w:pPr>
      <w:r>
        <w:rPr>
          <w:rFonts w:hint="eastAsia" w:ascii="宋体" w:hAnsi="宋体" w:cs="宋体"/>
          <w:sz w:val="24"/>
          <w:szCs w:val="24"/>
        </w:rPr>
        <w:t>逐级、逐部门设置信息安全领导机构，每一级领导机构均由该级别机构的管理决策人负责牵头，同时每一级领导机构向上一级领导机构负责，负责执行上一级领导机构确认的安全策略在本级机构内的实施，并负责指定实施本机构进一步的安全策略和要求。</w:t>
      </w:r>
    </w:p>
    <w:p>
      <w:pPr>
        <w:spacing w:line="360" w:lineRule="auto"/>
        <w:ind w:firstLine="460" w:firstLineChars="192"/>
        <w:rPr>
          <w:rFonts w:ascii="宋体" w:hAnsi="宋体" w:cs="宋体"/>
          <w:sz w:val="24"/>
          <w:szCs w:val="24"/>
        </w:rPr>
      </w:pPr>
      <w:r>
        <w:rPr>
          <w:rFonts w:hint="eastAsia" w:ascii="宋体" w:hAnsi="宋体" w:cs="宋体"/>
          <w:sz w:val="24"/>
          <w:szCs w:val="24"/>
        </w:rPr>
        <w:t>设置安全应急处理小组，负责对市民卡系统突发安全事故的紧急响应和系统恢复。</w:t>
      </w:r>
    </w:p>
    <w:p>
      <w:pPr>
        <w:spacing w:line="360" w:lineRule="auto"/>
        <w:ind w:firstLine="460" w:firstLineChars="192"/>
        <w:rPr>
          <w:rFonts w:ascii="宋体" w:hAnsi="宋体" w:cs="宋体"/>
          <w:sz w:val="24"/>
          <w:szCs w:val="24"/>
        </w:rPr>
      </w:pPr>
      <w:r>
        <w:rPr>
          <w:rFonts w:hint="eastAsia" w:ascii="宋体" w:hAnsi="宋体" w:cs="宋体"/>
          <w:sz w:val="24"/>
          <w:szCs w:val="24"/>
        </w:rPr>
        <w:t>建议建立整个系统使用的统一的安全责任定义，对系统所涉及所有人员的安全责任进行定义，其中包括：各级决策人员、各级业务管理人员、普通工作人员、IT相关人员。</w:t>
      </w:r>
    </w:p>
    <w:p>
      <w:pPr>
        <w:spacing w:line="360" w:lineRule="auto"/>
        <w:ind w:firstLine="460" w:firstLineChars="192"/>
        <w:rPr>
          <w:rFonts w:ascii="宋体" w:hAnsi="宋体" w:cs="宋体"/>
          <w:sz w:val="24"/>
          <w:szCs w:val="24"/>
        </w:rPr>
      </w:pPr>
      <w:r>
        <w:rPr>
          <w:rFonts w:hint="eastAsia" w:ascii="宋体" w:hAnsi="宋体" w:cs="宋体"/>
          <w:sz w:val="24"/>
          <w:szCs w:val="24"/>
        </w:rPr>
        <w:t>对信息系统的重要管理、维护人员建立资质审查制度，其中包括：系统管理员、数据库管理员、网络管理源等；对外部服务和合作单位也建立资质管理制度；定期对所有相关的资质进行检查。</w:t>
      </w:r>
    </w:p>
    <w:p>
      <w:pPr>
        <w:pStyle w:val="36"/>
        <w:rPr>
          <w:rFonts w:ascii="宋体" w:hAnsi="宋体" w:cs="宋体"/>
          <w:sz w:val="24"/>
          <w:szCs w:val="24"/>
        </w:rPr>
      </w:pPr>
    </w:p>
    <w:p>
      <w:pPr>
        <w:pStyle w:val="36"/>
        <w:rPr>
          <w:rFonts w:ascii="宋体" w:hAnsi="宋体" w:cs="宋体"/>
          <w:sz w:val="24"/>
          <w:szCs w:val="24"/>
        </w:rPr>
      </w:pPr>
    </w:p>
    <w:p>
      <w:pPr>
        <w:pStyle w:val="52"/>
        <w:spacing w:before="0" w:after="0" w:line="360" w:lineRule="auto"/>
        <w:rPr>
          <w:rFonts w:ascii="宋体" w:hAnsi="宋体" w:eastAsia="宋体" w:cs="Times New Roman"/>
          <w:snapToGrid w:val="0"/>
          <w:kern w:val="0"/>
          <w:sz w:val="44"/>
          <w:szCs w:val="20"/>
        </w:rPr>
      </w:pPr>
      <w:bookmarkStart w:id="220" w:name="_Toc233"/>
      <w:r>
        <w:rPr>
          <w:rFonts w:hint="eastAsia" w:ascii="宋体" w:hAnsi="宋体" w:eastAsia="宋体" w:cs="Times New Roman"/>
          <w:snapToGrid w:val="0"/>
          <w:kern w:val="0"/>
          <w:sz w:val="44"/>
          <w:szCs w:val="20"/>
        </w:rPr>
        <w:t>第四章 评审方法和程序</w:t>
      </w:r>
      <w:bookmarkEnd w:id="220"/>
    </w:p>
    <w:p>
      <w:pPr>
        <w:pStyle w:val="5"/>
        <w:spacing w:before="0" w:after="0" w:line="360" w:lineRule="auto"/>
        <w:rPr>
          <w:rFonts w:ascii="宋体" w:hAnsi="宋体" w:eastAsia="宋体" w:cs="宋体"/>
          <w:b/>
          <w:sz w:val="24"/>
          <w:szCs w:val="24"/>
        </w:rPr>
      </w:pPr>
      <w:bookmarkStart w:id="221" w:name="_Toc8268"/>
      <w:bookmarkStart w:id="222" w:name="_Toc22277"/>
      <w:r>
        <w:rPr>
          <w:rFonts w:hint="eastAsia" w:ascii="宋体" w:hAnsi="宋体" w:eastAsia="宋体" w:cs="宋体"/>
          <w:b/>
          <w:sz w:val="24"/>
          <w:szCs w:val="24"/>
        </w:rPr>
        <w:t>1.评审小组</w:t>
      </w:r>
      <w:bookmarkEnd w:id="146"/>
      <w:bookmarkEnd w:id="221"/>
      <w:bookmarkEnd w:id="222"/>
    </w:p>
    <w:p>
      <w:pPr>
        <w:snapToGrid w:val="0"/>
        <w:spacing w:line="360" w:lineRule="auto"/>
        <w:ind w:firstLine="480" w:firstLineChars="200"/>
        <w:contextualSpacing/>
        <w:rPr>
          <w:rFonts w:ascii="宋体" w:hAnsi="宋体" w:cs="宋体"/>
          <w:color w:val="000000"/>
          <w:sz w:val="24"/>
          <w:szCs w:val="24"/>
          <w:lang w:val="zh-CN"/>
        </w:rPr>
      </w:pPr>
      <w:r>
        <w:rPr>
          <w:rFonts w:hint="eastAsia" w:ascii="宋体" w:hAnsi="宋体" w:cs="宋体"/>
          <w:bCs/>
          <w:color w:val="000000"/>
          <w:sz w:val="24"/>
          <w:szCs w:val="24"/>
          <w:lang w:val="zh-CN"/>
        </w:rPr>
        <w:t>1.本项目采购依《中华人民共和国政府采购法》、《政府采购非招标采购方式管理办法》及有关法律法规成立评审小组。评审小组由采购人代表和评审专家共5人组成</w:t>
      </w:r>
      <w:r>
        <w:rPr>
          <w:rFonts w:hint="eastAsia" w:ascii="宋体" w:hAnsi="宋体" w:cs="宋体"/>
          <w:color w:val="000000"/>
          <w:sz w:val="24"/>
          <w:szCs w:val="24"/>
          <w:lang w:val="zh-CN"/>
        </w:rPr>
        <w:t>。</w:t>
      </w:r>
    </w:p>
    <w:p>
      <w:pPr>
        <w:snapToGrid w:val="0"/>
        <w:spacing w:line="360" w:lineRule="auto"/>
        <w:ind w:firstLine="480" w:firstLineChars="200"/>
        <w:contextualSpacing/>
        <w:rPr>
          <w:rFonts w:ascii="宋体" w:hAnsi="宋体" w:cs="宋体"/>
          <w:bCs/>
          <w:color w:val="000000"/>
          <w:sz w:val="24"/>
          <w:szCs w:val="24"/>
          <w:lang w:val="zh-CN"/>
        </w:rPr>
      </w:pPr>
      <w:r>
        <w:rPr>
          <w:rFonts w:hint="eastAsia" w:ascii="宋体" w:hAnsi="宋体" w:cs="宋体"/>
          <w:bCs/>
          <w:color w:val="000000"/>
          <w:sz w:val="24"/>
          <w:szCs w:val="24"/>
        </w:rPr>
        <w:t>2</w:t>
      </w:r>
      <w:r>
        <w:rPr>
          <w:rFonts w:hint="eastAsia" w:ascii="宋体" w:hAnsi="宋体" w:cs="宋体"/>
          <w:bCs/>
          <w:color w:val="000000"/>
          <w:sz w:val="24"/>
          <w:szCs w:val="24"/>
          <w:lang w:val="zh-CN"/>
        </w:rPr>
        <w:t>.评审小组的职责：审查投标供应商的响应文件并作出评价；要求供应商解释或者澄清其响应文件；编写评审报告；告知采购人在评审过程中发现的供应商的违法违规行为。</w:t>
      </w:r>
    </w:p>
    <w:p>
      <w:pPr>
        <w:snapToGrid w:val="0"/>
        <w:spacing w:line="360" w:lineRule="auto"/>
        <w:ind w:firstLine="480" w:firstLineChars="200"/>
        <w:contextualSpacing/>
        <w:rPr>
          <w:rFonts w:ascii="宋体" w:hAnsi="宋体" w:cs="宋体"/>
          <w:bCs/>
          <w:color w:val="000000"/>
          <w:sz w:val="24"/>
          <w:szCs w:val="24"/>
          <w:lang w:val="zh-CN"/>
        </w:rPr>
      </w:pPr>
      <w:r>
        <w:rPr>
          <w:rFonts w:hint="eastAsia" w:ascii="宋体" w:hAnsi="宋体" w:cs="宋体"/>
          <w:bCs/>
          <w:color w:val="000000"/>
          <w:sz w:val="24"/>
          <w:szCs w:val="24"/>
        </w:rPr>
        <w:t>3</w:t>
      </w:r>
      <w:r>
        <w:rPr>
          <w:rFonts w:hint="eastAsia" w:ascii="宋体" w:hAnsi="宋体" w:cs="宋体"/>
          <w:bCs/>
          <w:color w:val="000000"/>
          <w:sz w:val="24"/>
          <w:szCs w:val="24"/>
          <w:lang w:val="zh-CN"/>
        </w:rPr>
        <w:t>.评审小组成员的义务：遵纪守法，客观、公正、廉洁地履行职责；根据采购文件的规定独立进行评审，对个人的评审意见承担法律责任；参与评审报告的起草；配合采购人答复供应商提出的质疑，配合财政部门的投诉处理和监督检查工作。</w:t>
      </w:r>
    </w:p>
    <w:p>
      <w:pPr>
        <w:snapToGrid w:val="0"/>
        <w:spacing w:line="360" w:lineRule="auto"/>
        <w:ind w:firstLine="480" w:firstLineChars="200"/>
        <w:contextualSpacing/>
        <w:rPr>
          <w:rFonts w:ascii="宋体" w:hAnsi="宋体" w:cs="宋体"/>
          <w:bCs/>
          <w:color w:val="000000"/>
          <w:sz w:val="24"/>
          <w:szCs w:val="24"/>
          <w:lang w:val="zh-CN"/>
        </w:rPr>
      </w:pPr>
      <w:r>
        <w:rPr>
          <w:rFonts w:hint="eastAsia" w:ascii="宋体" w:hAnsi="宋体" w:cs="宋体"/>
          <w:bCs/>
          <w:color w:val="000000"/>
          <w:sz w:val="24"/>
          <w:szCs w:val="24"/>
        </w:rPr>
        <w:t>4</w:t>
      </w:r>
      <w:r>
        <w:rPr>
          <w:rFonts w:hint="eastAsia" w:ascii="宋体" w:hAnsi="宋体" w:cs="宋体"/>
          <w:bCs/>
          <w:color w:val="000000"/>
          <w:sz w:val="24"/>
          <w:szCs w:val="24"/>
          <w:lang w:val="zh-CN"/>
        </w:rPr>
        <w:t>.评审有关记录由评审小组成员签名，存档备查。</w:t>
      </w:r>
    </w:p>
    <w:p>
      <w:pPr>
        <w:snapToGrid w:val="0"/>
        <w:spacing w:line="360" w:lineRule="auto"/>
        <w:ind w:firstLine="480" w:firstLineChars="200"/>
        <w:contextualSpacing/>
        <w:rPr>
          <w:rFonts w:ascii="宋体" w:hAnsi="宋体" w:cs="宋体"/>
          <w:b/>
          <w:bCs/>
          <w:color w:val="000000"/>
          <w:sz w:val="24"/>
          <w:szCs w:val="24"/>
        </w:rPr>
      </w:pPr>
      <w:r>
        <w:rPr>
          <w:rFonts w:hint="eastAsia" w:ascii="宋体" w:hAnsi="宋体" w:cs="宋体"/>
          <w:bCs/>
          <w:color w:val="000000"/>
          <w:sz w:val="24"/>
          <w:szCs w:val="24"/>
        </w:rPr>
        <w:t>5</w:t>
      </w:r>
      <w:r>
        <w:rPr>
          <w:rFonts w:hint="eastAsia" w:ascii="宋体" w:hAnsi="宋体" w:cs="宋体"/>
          <w:bCs/>
          <w:color w:val="000000"/>
          <w:sz w:val="24"/>
          <w:szCs w:val="24"/>
          <w:lang w:val="zh-CN"/>
        </w:rPr>
        <w:t>.</w:t>
      </w:r>
      <w:r>
        <w:rPr>
          <w:rFonts w:hint="eastAsia" w:ascii="宋体" w:hAnsi="宋体" w:cs="宋体"/>
          <w:sz w:val="24"/>
          <w:szCs w:val="24"/>
        </w:rPr>
        <w:t>如评委会认为有必要，</w:t>
      </w:r>
      <w:r>
        <w:rPr>
          <w:rFonts w:hint="eastAsia" w:ascii="宋体" w:hAnsi="宋体" w:cs="宋体"/>
          <w:bCs/>
          <w:color w:val="000000"/>
          <w:sz w:val="24"/>
          <w:szCs w:val="24"/>
          <w:lang w:val="zh-CN"/>
        </w:rPr>
        <w:t>投标人可</w:t>
      </w:r>
      <w:r>
        <w:rPr>
          <w:rFonts w:hint="eastAsia" w:ascii="宋体" w:hAnsi="宋体" w:cs="宋体"/>
          <w:sz w:val="24"/>
          <w:szCs w:val="24"/>
        </w:rPr>
        <w:t>按评委会的要求作陈述、演示、答疑及澄清其投标内容。时间由评委会掌握。重要澄清答复应是书面的，但不得对投标内容进行实质性修改。</w:t>
      </w:r>
    </w:p>
    <w:p>
      <w:pPr>
        <w:pStyle w:val="5"/>
        <w:spacing w:before="0" w:after="0" w:line="360" w:lineRule="auto"/>
        <w:rPr>
          <w:rFonts w:ascii="宋体" w:hAnsi="宋体" w:eastAsia="宋体" w:cs="宋体"/>
          <w:b/>
          <w:sz w:val="24"/>
          <w:szCs w:val="24"/>
        </w:rPr>
      </w:pPr>
      <w:bookmarkStart w:id="223" w:name="_Toc29617"/>
      <w:bookmarkStart w:id="224" w:name="_Toc25252"/>
      <w:r>
        <w:rPr>
          <w:rFonts w:hint="eastAsia" w:ascii="宋体" w:hAnsi="宋体" w:eastAsia="宋体" w:cs="宋体"/>
          <w:b/>
          <w:sz w:val="24"/>
          <w:szCs w:val="24"/>
        </w:rPr>
        <w:t>2.评审方法与评分标准</w:t>
      </w:r>
      <w:bookmarkEnd w:id="223"/>
      <w:bookmarkEnd w:id="224"/>
    </w:p>
    <w:p>
      <w:pPr>
        <w:snapToGrid w:val="0"/>
        <w:spacing w:line="360" w:lineRule="auto"/>
        <w:ind w:firstLine="480" w:firstLineChars="200"/>
        <w:contextualSpacing/>
        <w:rPr>
          <w:rFonts w:ascii="宋体" w:hAnsi="宋体" w:cs="宋体"/>
          <w:bCs/>
          <w:color w:val="000000"/>
          <w:sz w:val="24"/>
          <w:szCs w:val="24"/>
          <w:lang w:val="zh-CN"/>
        </w:rPr>
      </w:pPr>
      <w:r>
        <w:rPr>
          <w:rFonts w:hint="eastAsia" w:ascii="宋体" w:hAnsi="宋体" w:cs="宋体"/>
          <w:bCs/>
          <w:color w:val="000000"/>
          <w:sz w:val="24"/>
          <w:szCs w:val="24"/>
          <w:lang w:val="zh-CN"/>
        </w:rPr>
        <w:t>1.评审方法</w:t>
      </w:r>
    </w:p>
    <w:p>
      <w:pPr>
        <w:snapToGrid w:val="0"/>
        <w:spacing w:line="360" w:lineRule="auto"/>
        <w:ind w:firstLine="480" w:firstLineChars="200"/>
        <w:contextualSpacing/>
        <w:rPr>
          <w:rFonts w:ascii="宋体" w:hAnsi="宋体" w:cs="宋体"/>
          <w:sz w:val="24"/>
          <w:szCs w:val="24"/>
        </w:rPr>
      </w:pPr>
      <w:r>
        <w:rPr>
          <w:rFonts w:hint="eastAsia" w:ascii="宋体" w:hAnsi="宋体" w:cs="宋体"/>
          <w:color w:val="000000"/>
          <w:sz w:val="24"/>
          <w:szCs w:val="24"/>
        </w:rPr>
        <w:t>本项目采用：综合评分法</w:t>
      </w:r>
      <w:r>
        <w:rPr>
          <w:rFonts w:hint="eastAsia" w:ascii="宋体" w:hAnsi="宋体" w:cs="宋体"/>
          <w:sz w:val="24"/>
          <w:szCs w:val="24"/>
        </w:rPr>
        <w:t>。评委会将对确定为实质性响应招标文件要求的投标文件进行评价和比较。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napToGrid w:val="0"/>
        <w:spacing w:line="360" w:lineRule="auto"/>
        <w:ind w:firstLine="480" w:firstLineChars="200"/>
        <w:contextualSpacing/>
        <w:rPr>
          <w:rFonts w:ascii="宋体" w:hAnsi="宋体" w:cs="宋体"/>
          <w:sz w:val="24"/>
          <w:szCs w:val="24"/>
        </w:rPr>
      </w:pPr>
    </w:p>
    <w:p>
      <w:pPr>
        <w:snapToGrid w:val="0"/>
        <w:spacing w:line="360" w:lineRule="auto"/>
        <w:ind w:firstLine="480" w:firstLineChars="200"/>
        <w:contextualSpacing/>
        <w:rPr>
          <w:rFonts w:ascii="宋体" w:hAnsi="宋体" w:cs="宋体"/>
          <w:sz w:val="24"/>
          <w:szCs w:val="24"/>
        </w:rPr>
      </w:pPr>
    </w:p>
    <w:p>
      <w:pPr>
        <w:snapToGrid w:val="0"/>
        <w:spacing w:line="360" w:lineRule="auto"/>
        <w:ind w:firstLine="480" w:firstLineChars="200"/>
        <w:contextualSpacing/>
        <w:rPr>
          <w:rFonts w:ascii="宋体" w:hAnsi="宋体" w:cs="宋体"/>
          <w:sz w:val="24"/>
          <w:szCs w:val="24"/>
        </w:rPr>
      </w:pPr>
    </w:p>
    <w:p>
      <w:pPr>
        <w:snapToGrid w:val="0"/>
        <w:spacing w:line="360" w:lineRule="auto"/>
        <w:ind w:firstLine="480" w:firstLineChars="200"/>
        <w:contextualSpacing/>
        <w:rPr>
          <w:rFonts w:ascii="宋体" w:hAnsi="宋体" w:cs="宋体"/>
          <w:sz w:val="24"/>
          <w:szCs w:val="24"/>
        </w:rPr>
      </w:pPr>
    </w:p>
    <w:p>
      <w:pPr>
        <w:snapToGrid w:val="0"/>
        <w:spacing w:line="360" w:lineRule="auto"/>
        <w:ind w:firstLine="480" w:firstLineChars="200"/>
        <w:contextualSpacing/>
        <w:rPr>
          <w:rFonts w:ascii="宋体" w:hAnsi="宋体" w:cs="宋体"/>
          <w:sz w:val="24"/>
          <w:szCs w:val="24"/>
        </w:rPr>
      </w:pPr>
    </w:p>
    <w:p>
      <w:pPr>
        <w:snapToGrid w:val="0"/>
        <w:spacing w:line="360" w:lineRule="auto"/>
        <w:ind w:firstLine="480" w:firstLineChars="200"/>
        <w:contextualSpacing/>
        <w:rPr>
          <w:rFonts w:ascii="宋体" w:hAnsi="宋体" w:cs="宋体"/>
          <w:sz w:val="24"/>
          <w:szCs w:val="24"/>
        </w:rPr>
      </w:pPr>
    </w:p>
    <w:p>
      <w:pPr>
        <w:snapToGrid w:val="0"/>
        <w:spacing w:line="360" w:lineRule="auto"/>
        <w:ind w:firstLine="480" w:firstLineChars="200"/>
        <w:contextualSpacing/>
        <w:rPr>
          <w:rFonts w:ascii="宋体" w:hAnsi="宋体" w:cs="宋体"/>
          <w:sz w:val="24"/>
          <w:szCs w:val="24"/>
        </w:rPr>
      </w:pPr>
    </w:p>
    <w:p>
      <w:pPr>
        <w:snapToGrid w:val="0"/>
        <w:spacing w:line="360" w:lineRule="auto"/>
        <w:ind w:firstLine="480" w:firstLineChars="200"/>
        <w:contextualSpacing/>
        <w:rPr>
          <w:rFonts w:ascii="宋体" w:hAnsi="宋体" w:cs="宋体"/>
          <w:sz w:val="24"/>
          <w:szCs w:val="24"/>
        </w:rPr>
      </w:pPr>
      <w:r>
        <w:rPr>
          <w:rFonts w:hint="eastAsia" w:ascii="宋体" w:hAnsi="宋体" w:cs="宋体"/>
          <w:sz w:val="24"/>
          <w:szCs w:val="24"/>
        </w:rPr>
        <w:t>2.评分标准</w:t>
      </w:r>
    </w:p>
    <w:p>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本项目采用综合评分法确定中标人。评标委员会将按下列评分办法和标准进行评分，总分值为100分。</w:t>
      </w:r>
    </w:p>
    <w:tbl>
      <w:tblPr>
        <w:tblStyle w:val="56"/>
        <w:tblW w:w="5324" w:type="pct"/>
        <w:tblInd w:w="-292" w:type="dxa"/>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autofit"/>
        <w:tblCellMar>
          <w:top w:w="0" w:type="dxa"/>
          <w:left w:w="0" w:type="dxa"/>
          <w:bottom w:w="0" w:type="dxa"/>
          <w:right w:w="0" w:type="dxa"/>
        </w:tblCellMar>
      </w:tblPr>
      <w:tblGrid>
        <w:gridCol w:w="616"/>
        <w:gridCol w:w="1138"/>
        <w:gridCol w:w="1130"/>
        <w:gridCol w:w="859"/>
        <w:gridCol w:w="5474"/>
      </w:tblGrid>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334" w:type="pct"/>
            <w:tcBorders>
              <w:top w:val="outset" w:color="auto" w:sz="6" w:space="0"/>
              <w:left w:val="outset" w:color="auto" w:sz="6" w:space="0"/>
              <w:bottom w:val="outset" w:color="auto" w:sz="6" w:space="0"/>
              <w:right w:val="outset" w:color="auto" w:sz="6" w:space="0"/>
            </w:tcBorders>
            <w:vAlign w:val="center"/>
          </w:tcPr>
          <w:p>
            <w:pPr>
              <w:spacing w:line="360" w:lineRule="auto"/>
              <w:jc w:val="center"/>
              <w:rPr>
                <w:rFonts w:ascii="宋体" w:hAnsi="宋体" w:cs="宋体"/>
                <w:b/>
                <w:sz w:val="24"/>
                <w:szCs w:val="24"/>
              </w:rPr>
            </w:pPr>
            <w:r>
              <w:rPr>
                <w:rFonts w:hint="eastAsia" w:ascii="宋体" w:hAnsi="宋体" w:cs="宋体"/>
                <w:b/>
                <w:sz w:val="24"/>
                <w:szCs w:val="24"/>
              </w:rPr>
              <w:t>序号</w:t>
            </w:r>
          </w:p>
        </w:tc>
        <w:tc>
          <w:tcPr>
            <w:tcW w:w="617" w:type="pct"/>
            <w:tcBorders>
              <w:top w:val="outset" w:color="auto" w:sz="6" w:space="0"/>
              <w:left w:val="outset" w:color="auto" w:sz="6" w:space="0"/>
              <w:bottom w:val="outset" w:color="auto" w:sz="6" w:space="0"/>
              <w:right w:val="outset" w:color="auto" w:sz="6" w:space="0"/>
            </w:tcBorders>
            <w:vAlign w:val="center"/>
          </w:tcPr>
          <w:p>
            <w:pPr>
              <w:spacing w:line="360" w:lineRule="auto"/>
              <w:jc w:val="center"/>
              <w:rPr>
                <w:rFonts w:ascii="宋体" w:hAnsi="宋体" w:cs="宋体"/>
                <w:b/>
                <w:sz w:val="24"/>
                <w:szCs w:val="24"/>
              </w:rPr>
            </w:pPr>
            <w:r>
              <w:rPr>
                <w:rFonts w:hint="eastAsia" w:ascii="宋体" w:hAnsi="宋体" w:cs="宋体"/>
                <w:b/>
                <w:sz w:val="24"/>
                <w:szCs w:val="24"/>
              </w:rPr>
              <w:t>评审因素</w:t>
            </w:r>
          </w:p>
        </w:tc>
        <w:tc>
          <w:tcPr>
            <w:tcW w:w="613" w:type="pct"/>
            <w:tcBorders>
              <w:top w:val="outset" w:color="auto" w:sz="6" w:space="0"/>
              <w:left w:val="outset" w:color="auto" w:sz="6" w:space="0"/>
              <w:bottom w:val="outset" w:color="auto" w:sz="6" w:space="0"/>
              <w:right w:val="outset" w:color="auto" w:sz="6" w:space="0"/>
            </w:tcBorders>
            <w:vAlign w:val="center"/>
          </w:tcPr>
          <w:p>
            <w:pPr>
              <w:spacing w:line="360" w:lineRule="auto"/>
              <w:jc w:val="center"/>
              <w:rPr>
                <w:rFonts w:ascii="宋体" w:hAnsi="宋体" w:cs="宋体"/>
                <w:b/>
                <w:sz w:val="24"/>
                <w:szCs w:val="24"/>
              </w:rPr>
            </w:pPr>
            <w:r>
              <w:rPr>
                <w:rFonts w:hint="eastAsia" w:ascii="宋体" w:hAnsi="宋体" w:cs="宋体"/>
                <w:b/>
                <w:sz w:val="24"/>
                <w:szCs w:val="24"/>
              </w:rPr>
              <w:t>各评分因素细分项</w:t>
            </w:r>
          </w:p>
        </w:tc>
        <w:tc>
          <w:tcPr>
            <w:tcW w:w="466" w:type="pct"/>
            <w:tcBorders>
              <w:top w:val="outset" w:color="auto" w:sz="6" w:space="0"/>
              <w:left w:val="outset" w:color="auto" w:sz="6" w:space="0"/>
              <w:bottom w:val="outset" w:color="auto" w:sz="6" w:space="0"/>
              <w:right w:val="outset" w:color="auto" w:sz="6" w:space="0"/>
            </w:tcBorders>
            <w:vAlign w:val="center"/>
          </w:tcPr>
          <w:p>
            <w:pPr>
              <w:spacing w:line="360" w:lineRule="auto"/>
              <w:jc w:val="center"/>
              <w:rPr>
                <w:rFonts w:ascii="宋体" w:hAnsi="宋体" w:cs="宋体"/>
                <w:b/>
                <w:sz w:val="24"/>
                <w:szCs w:val="24"/>
              </w:rPr>
            </w:pPr>
            <w:r>
              <w:rPr>
                <w:rFonts w:hint="eastAsia" w:ascii="宋体" w:hAnsi="宋体" w:cs="宋体"/>
                <w:b/>
                <w:sz w:val="24"/>
                <w:szCs w:val="24"/>
              </w:rPr>
              <w:t>分值</w:t>
            </w:r>
          </w:p>
        </w:tc>
        <w:tc>
          <w:tcPr>
            <w:tcW w:w="2968" w:type="pct"/>
            <w:tcBorders>
              <w:top w:val="outset" w:color="auto" w:sz="6" w:space="0"/>
              <w:left w:val="outset" w:color="auto" w:sz="6" w:space="0"/>
              <w:bottom w:val="outset" w:color="auto" w:sz="6" w:space="0"/>
              <w:right w:val="outset" w:color="auto" w:sz="6" w:space="0"/>
            </w:tcBorders>
            <w:vAlign w:val="center"/>
          </w:tcPr>
          <w:p>
            <w:pPr>
              <w:spacing w:line="360" w:lineRule="auto"/>
              <w:jc w:val="center"/>
              <w:rPr>
                <w:rFonts w:ascii="宋体" w:hAnsi="宋体" w:cs="宋体"/>
                <w:b/>
                <w:sz w:val="24"/>
                <w:szCs w:val="24"/>
              </w:rPr>
            </w:pPr>
            <w:r>
              <w:rPr>
                <w:rFonts w:hint="eastAsia" w:ascii="宋体" w:hAnsi="宋体" w:cs="宋体"/>
                <w:b/>
                <w:sz w:val="24"/>
                <w:szCs w:val="24"/>
              </w:rPr>
              <w:t>评分标准</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334" w:type="pct"/>
            <w:tcBorders>
              <w:top w:val="outset" w:color="auto" w:sz="6" w:space="0"/>
              <w:left w:val="outset" w:color="auto" w:sz="6" w:space="0"/>
              <w:bottom w:val="outset" w:color="auto" w:sz="6" w:space="0"/>
              <w:right w:val="outset" w:color="auto" w:sz="6" w:space="0"/>
            </w:tcBorders>
            <w:vAlign w:val="center"/>
          </w:tcPr>
          <w:p>
            <w:pPr>
              <w:spacing w:line="360" w:lineRule="auto"/>
              <w:jc w:val="left"/>
              <w:rPr>
                <w:rFonts w:ascii="宋体" w:hAnsi="宋体" w:cs="宋体"/>
                <w:sz w:val="24"/>
                <w:szCs w:val="24"/>
              </w:rPr>
            </w:pPr>
            <w:r>
              <w:rPr>
                <w:rFonts w:hint="eastAsia" w:ascii="宋体" w:hAnsi="宋体" w:cs="宋体"/>
                <w:sz w:val="24"/>
                <w:szCs w:val="24"/>
              </w:rPr>
              <w:t>（1）</w:t>
            </w:r>
          </w:p>
        </w:tc>
        <w:tc>
          <w:tcPr>
            <w:tcW w:w="617" w:type="pct"/>
            <w:tcBorders>
              <w:top w:val="outset" w:color="auto" w:sz="6" w:space="0"/>
              <w:left w:val="outset" w:color="auto" w:sz="6" w:space="0"/>
              <w:bottom w:val="outset" w:color="auto" w:sz="6" w:space="0"/>
              <w:right w:val="outset" w:color="auto" w:sz="6" w:space="0"/>
            </w:tcBorders>
            <w:vAlign w:val="center"/>
          </w:tcPr>
          <w:p>
            <w:pPr>
              <w:spacing w:line="360" w:lineRule="auto"/>
              <w:jc w:val="center"/>
              <w:rPr>
                <w:rFonts w:ascii="宋体" w:hAnsi="宋体" w:cs="宋体"/>
                <w:sz w:val="24"/>
                <w:szCs w:val="24"/>
              </w:rPr>
            </w:pPr>
            <w:r>
              <w:rPr>
                <w:rFonts w:hint="eastAsia" w:ascii="宋体" w:hAnsi="宋体" w:cs="宋体"/>
                <w:sz w:val="24"/>
                <w:szCs w:val="24"/>
              </w:rPr>
              <w:t>报价评审</w:t>
            </w:r>
          </w:p>
        </w:tc>
        <w:tc>
          <w:tcPr>
            <w:tcW w:w="613" w:type="pct"/>
            <w:tcBorders>
              <w:top w:val="outset" w:color="auto" w:sz="6" w:space="0"/>
              <w:left w:val="outset" w:color="auto" w:sz="6" w:space="0"/>
              <w:bottom w:val="outset" w:color="auto" w:sz="6" w:space="0"/>
              <w:right w:val="outset" w:color="auto" w:sz="6" w:space="0"/>
            </w:tcBorders>
            <w:vAlign w:val="center"/>
          </w:tcPr>
          <w:p>
            <w:pPr>
              <w:spacing w:line="360" w:lineRule="auto"/>
              <w:jc w:val="left"/>
              <w:rPr>
                <w:rFonts w:ascii="宋体" w:hAnsi="宋体" w:cs="宋体"/>
                <w:sz w:val="24"/>
                <w:szCs w:val="24"/>
              </w:rPr>
            </w:pPr>
            <w:r>
              <w:rPr>
                <w:rFonts w:hint="eastAsia" w:ascii="宋体" w:hAnsi="宋体" w:cs="宋体"/>
                <w:sz w:val="24"/>
                <w:szCs w:val="24"/>
              </w:rPr>
              <w:t>投标报价</w:t>
            </w:r>
          </w:p>
        </w:tc>
        <w:tc>
          <w:tcPr>
            <w:tcW w:w="466" w:type="pct"/>
            <w:tcBorders>
              <w:top w:val="outset" w:color="auto" w:sz="6" w:space="0"/>
              <w:left w:val="outset" w:color="auto" w:sz="6" w:space="0"/>
              <w:bottom w:val="outset" w:color="auto" w:sz="6" w:space="0"/>
              <w:right w:val="outset" w:color="auto" w:sz="6" w:space="0"/>
            </w:tcBorders>
            <w:vAlign w:val="center"/>
          </w:tcPr>
          <w:p>
            <w:pPr>
              <w:spacing w:line="360" w:lineRule="auto"/>
              <w:jc w:val="center"/>
              <w:rPr>
                <w:rFonts w:ascii="宋体" w:hAnsi="宋体" w:cs="宋体"/>
                <w:sz w:val="24"/>
                <w:szCs w:val="24"/>
              </w:rPr>
            </w:pPr>
            <w:r>
              <w:rPr>
                <w:rFonts w:hint="eastAsia" w:ascii="宋体" w:hAnsi="宋体" w:cs="宋体"/>
                <w:sz w:val="24"/>
                <w:szCs w:val="24"/>
              </w:rPr>
              <w:t>30</w:t>
            </w:r>
          </w:p>
        </w:tc>
        <w:tc>
          <w:tcPr>
            <w:tcW w:w="2968" w:type="pct"/>
            <w:tcBorders>
              <w:top w:val="outset" w:color="auto" w:sz="6" w:space="0"/>
              <w:left w:val="outset" w:color="auto" w:sz="6" w:space="0"/>
              <w:bottom w:val="outset" w:color="auto" w:sz="6" w:space="0"/>
              <w:right w:val="outset" w:color="auto" w:sz="6" w:space="0"/>
            </w:tcBorders>
            <w:vAlign w:val="center"/>
          </w:tcPr>
          <w:p>
            <w:pPr>
              <w:spacing w:line="360" w:lineRule="auto"/>
              <w:jc w:val="left"/>
              <w:rPr>
                <w:rFonts w:ascii="宋体" w:hAnsi="宋体" w:cs="宋体"/>
                <w:sz w:val="24"/>
                <w:szCs w:val="24"/>
              </w:rPr>
            </w:pPr>
            <w:r>
              <w:rPr>
                <w:rFonts w:hint="eastAsia" w:ascii="宋体" w:hAnsi="宋体" w:cs="宋体"/>
                <w:sz w:val="24"/>
                <w:szCs w:val="24"/>
              </w:rPr>
              <w:t>1、以本次最低有效投标报价为基准价，投标报价得分=(基准价／投标报价)×30</w:t>
            </w:r>
          </w:p>
          <w:p>
            <w:pPr>
              <w:pStyle w:val="54"/>
              <w:spacing w:line="360" w:lineRule="auto"/>
              <w:ind w:firstLine="0"/>
              <w:rPr>
                <w:rFonts w:ascii="宋体" w:hAnsi="宋体" w:eastAsia="宋体" w:cs="宋体"/>
                <w:sz w:val="24"/>
              </w:rPr>
            </w:pPr>
            <w:r>
              <w:rPr>
                <w:rFonts w:hint="eastAsia" w:ascii="宋体" w:hAnsi="宋体" w:eastAsia="宋体" w:cs="宋体"/>
                <w:sz w:val="24"/>
              </w:rPr>
              <w:t>2、“有效投标报价”指通过资格性审查和符合性审查的供应商的投标报价。</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334" w:type="pct"/>
            <w:vMerge w:val="restart"/>
            <w:tcBorders>
              <w:top w:val="outset" w:color="auto" w:sz="6" w:space="0"/>
              <w:left w:val="outset" w:color="auto" w:sz="6" w:space="0"/>
              <w:bottom w:val="outset" w:color="auto" w:sz="6" w:space="0"/>
              <w:right w:val="outset" w:color="auto" w:sz="6" w:space="0"/>
            </w:tcBorders>
            <w:vAlign w:val="center"/>
          </w:tcPr>
          <w:p>
            <w:pPr>
              <w:spacing w:line="360" w:lineRule="auto"/>
              <w:jc w:val="left"/>
              <w:rPr>
                <w:rFonts w:ascii="宋体" w:hAnsi="宋体" w:cs="宋体"/>
                <w:sz w:val="24"/>
                <w:szCs w:val="24"/>
              </w:rPr>
            </w:pPr>
            <w:r>
              <w:rPr>
                <w:rFonts w:hint="eastAsia" w:ascii="宋体" w:hAnsi="宋体" w:cs="宋体"/>
                <w:sz w:val="24"/>
                <w:szCs w:val="24"/>
              </w:rPr>
              <w:t>（2）</w:t>
            </w:r>
          </w:p>
        </w:tc>
        <w:tc>
          <w:tcPr>
            <w:tcW w:w="617" w:type="pct"/>
            <w:vMerge w:val="restart"/>
            <w:tcBorders>
              <w:top w:val="outset" w:color="auto" w:sz="6" w:space="0"/>
              <w:left w:val="outset" w:color="auto" w:sz="6" w:space="0"/>
              <w:bottom w:val="outset" w:color="auto" w:sz="6" w:space="0"/>
              <w:right w:val="outset" w:color="auto" w:sz="6" w:space="0"/>
            </w:tcBorders>
            <w:vAlign w:val="center"/>
          </w:tcPr>
          <w:p>
            <w:pPr>
              <w:spacing w:line="360" w:lineRule="auto"/>
              <w:jc w:val="center"/>
              <w:rPr>
                <w:rFonts w:ascii="宋体" w:hAnsi="宋体" w:cs="宋体"/>
                <w:sz w:val="24"/>
                <w:szCs w:val="24"/>
              </w:rPr>
            </w:pPr>
            <w:r>
              <w:rPr>
                <w:rFonts w:hint="eastAsia" w:ascii="宋体" w:hAnsi="宋体" w:cs="宋体"/>
                <w:sz w:val="24"/>
                <w:szCs w:val="24"/>
              </w:rPr>
              <w:t>技术评审</w:t>
            </w:r>
          </w:p>
        </w:tc>
        <w:tc>
          <w:tcPr>
            <w:tcW w:w="613" w:type="pct"/>
            <w:tcBorders>
              <w:top w:val="outset" w:color="auto" w:sz="6" w:space="0"/>
              <w:left w:val="outset" w:color="auto" w:sz="6" w:space="0"/>
              <w:bottom w:val="outset" w:color="auto" w:sz="6" w:space="0"/>
              <w:right w:val="outset" w:color="auto" w:sz="6" w:space="0"/>
            </w:tcBorders>
            <w:vAlign w:val="center"/>
          </w:tcPr>
          <w:p>
            <w:pPr>
              <w:spacing w:line="360" w:lineRule="auto"/>
              <w:jc w:val="left"/>
              <w:rPr>
                <w:rFonts w:ascii="宋体" w:hAnsi="宋体" w:cs="宋体"/>
                <w:sz w:val="24"/>
                <w:szCs w:val="24"/>
              </w:rPr>
            </w:pPr>
            <w:r>
              <w:rPr>
                <w:rFonts w:hint="eastAsia" w:ascii="宋体" w:hAnsi="宋体" w:cs="宋体"/>
                <w:sz w:val="24"/>
                <w:szCs w:val="24"/>
              </w:rPr>
              <w:t>项目整体理解评价</w:t>
            </w:r>
          </w:p>
        </w:tc>
        <w:tc>
          <w:tcPr>
            <w:tcW w:w="466" w:type="pct"/>
            <w:tcBorders>
              <w:top w:val="outset" w:color="auto" w:sz="6" w:space="0"/>
              <w:left w:val="outset" w:color="auto" w:sz="6" w:space="0"/>
              <w:bottom w:val="outset" w:color="auto" w:sz="6" w:space="0"/>
              <w:right w:val="outset" w:color="auto" w:sz="6" w:space="0"/>
            </w:tcBorders>
            <w:vAlign w:val="center"/>
          </w:tcPr>
          <w:p>
            <w:pPr>
              <w:spacing w:line="360" w:lineRule="auto"/>
              <w:jc w:val="center"/>
              <w:rPr>
                <w:rFonts w:ascii="宋体" w:hAnsi="宋体" w:cs="宋体"/>
                <w:sz w:val="24"/>
                <w:szCs w:val="24"/>
                <w:highlight w:val="none"/>
              </w:rPr>
            </w:pPr>
            <w:r>
              <w:rPr>
                <w:rFonts w:hint="eastAsia" w:ascii="宋体" w:hAnsi="宋体" w:cs="宋体"/>
                <w:sz w:val="24"/>
                <w:szCs w:val="24"/>
                <w:highlight w:val="none"/>
              </w:rPr>
              <w:t>10</w:t>
            </w:r>
          </w:p>
        </w:tc>
        <w:tc>
          <w:tcPr>
            <w:tcW w:w="2968" w:type="pct"/>
            <w:tcBorders>
              <w:top w:val="outset" w:color="auto" w:sz="6" w:space="0"/>
              <w:left w:val="outset" w:color="auto" w:sz="6" w:space="0"/>
              <w:bottom w:val="outset" w:color="auto" w:sz="6" w:space="0"/>
              <w:right w:val="outset" w:color="auto" w:sz="6" w:space="0"/>
            </w:tcBorders>
            <w:vAlign w:val="center"/>
          </w:tcPr>
          <w:p>
            <w:pPr>
              <w:spacing w:line="360" w:lineRule="auto"/>
              <w:jc w:val="left"/>
              <w:rPr>
                <w:rFonts w:ascii="宋体" w:hAnsi="宋体" w:cs="宋体"/>
                <w:sz w:val="24"/>
                <w:szCs w:val="24"/>
                <w:highlight w:val="none"/>
              </w:rPr>
            </w:pPr>
            <w:r>
              <w:rPr>
                <w:rFonts w:hint="eastAsia" w:ascii="宋体" w:hAnsi="宋体" w:cs="宋体"/>
                <w:sz w:val="24"/>
                <w:szCs w:val="24"/>
                <w:highlight w:val="none"/>
              </w:rPr>
              <w:t>投标人须根据招标文件提出明确、合理、可行的设计方案，设计方案的总体构架、各项功能设计具备完整性、专业性和兼容性，具有总体设计框架和设计思路，业务流程，完全响应招标文件的功能要求。</w:t>
            </w:r>
          </w:p>
          <w:p>
            <w:pPr>
              <w:spacing w:line="360" w:lineRule="auto"/>
              <w:jc w:val="left"/>
              <w:rPr>
                <w:rFonts w:ascii="宋体" w:hAnsi="宋体" w:cs="宋体"/>
                <w:sz w:val="24"/>
                <w:szCs w:val="24"/>
                <w:highlight w:val="none"/>
              </w:rPr>
            </w:pPr>
            <w:r>
              <w:rPr>
                <w:rFonts w:hint="eastAsia" w:ascii="宋体" w:hAnsi="宋体" w:cs="宋体"/>
                <w:sz w:val="24"/>
                <w:szCs w:val="24"/>
                <w:highlight w:val="none"/>
              </w:rPr>
              <w:t>优秀者：10-8分；良好者：7-5分；一般者：4-1分；未提供符合要求的方案本项得0分。</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334" w:type="pct"/>
            <w:vMerge w:val="continue"/>
            <w:tcBorders>
              <w:top w:val="outset" w:color="auto" w:sz="6" w:space="0"/>
              <w:left w:val="outset" w:color="auto" w:sz="6" w:space="0"/>
              <w:bottom w:val="outset" w:color="auto" w:sz="6" w:space="0"/>
              <w:right w:val="outset" w:color="auto" w:sz="6" w:space="0"/>
            </w:tcBorders>
            <w:vAlign w:val="center"/>
          </w:tcPr>
          <w:p>
            <w:pPr>
              <w:spacing w:line="360" w:lineRule="auto"/>
              <w:jc w:val="left"/>
              <w:rPr>
                <w:rFonts w:ascii="宋体" w:hAnsi="宋体" w:cs="宋体"/>
                <w:sz w:val="24"/>
                <w:szCs w:val="24"/>
              </w:rPr>
            </w:pPr>
          </w:p>
        </w:tc>
        <w:tc>
          <w:tcPr>
            <w:tcW w:w="617" w:type="pct"/>
            <w:vMerge w:val="continue"/>
            <w:tcBorders>
              <w:top w:val="outset" w:color="auto" w:sz="6" w:space="0"/>
              <w:left w:val="outset" w:color="auto" w:sz="6" w:space="0"/>
              <w:bottom w:val="outset" w:color="auto" w:sz="6" w:space="0"/>
              <w:right w:val="outset" w:color="auto" w:sz="6" w:space="0"/>
            </w:tcBorders>
            <w:vAlign w:val="center"/>
          </w:tcPr>
          <w:p>
            <w:pPr>
              <w:spacing w:line="360" w:lineRule="auto"/>
              <w:jc w:val="center"/>
              <w:rPr>
                <w:rFonts w:ascii="宋体" w:hAnsi="宋体" w:cs="宋体"/>
                <w:sz w:val="24"/>
                <w:szCs w:val="24"/>
              </w:rPr>
            </w:pPr>
          </w:p>
        </w:tc>
        <w:tc>
          <w:tcPr>
            <w:tcW w:w="613" w:type="pct"/>
            <w:tcBorders>
              <w:top w:val="outset" w:color="auto" w:sz="6" w:space="0"/>
              <w:left w:val="outset" w:color="auto" w:sz="6" w:space="0"/>
              <w:bottom w:val="outset" w:color="auto" w:sz="6" w:space="0"/>
              <w:right w:val="outset" w:color="auto" w:sz="6" w:space="0"/>
            </w:tcBorders>
            <w:vAlign w:val="center"/>
          </w:tcPr>
          <w:p>
            <w:pPr>
              <w:spacing w:line="360" w:lineRule="auto"/>
              <w:jc w:val="left"/>
              <w:rPr>
                <w:rFonts w:ascii="宋体" w:hAnsi="宋体" w:cs="宋体"/>
                <w:sz w:val="24"/>
                <w:szCs w:val="24"/>
              </w:rPr>
            </w:pPr>
            <w:r>
              <w:rPr>
                <w:rFonts w:hint="eastAsia" w:ascii="宋体" w:hAnsi="宋体" w:cs="宋体"/>
                <w:sz w:val="24"/>
                <w:szCs w:val="24"/>
              </w:rPr>
              <w:t>项目功能评价</w:t>
            </w:r>
          </w:p>
        </w:tc>
        <w:tc>
          <w:tcPr>
            <w:tcW w:w="466" w:type="pct"/>
            <w:tcBorders>
              <w:top w:val="outset" w:color="auto" w:sz="6" w:space="0"/>
              <w:left w:val="outset" w:color="auto" w:sz="6" w:space="0"/>
              <w:bottom w:val="outset" w:color="auto" w:sz="6" w:space="0"/>
              <w:right w:val="outset" w:color="auto" w:sz="6" w:space="0"/>
            </w:tcBorders>
            <w:vAlign w:val="center"/>
          </w:tcPr>
          <w:p>
            <w:pPr>
              <w:spacing w:line="360" w:lineRule="auto"/>
              <w:jc w:val="center"/>
              <w:rPr>
                <w:rFonts w:ascii="宋体" w:hAnsi="宋体" w:cs="宋体"/>
                <w:sz w:val="24"/>
                <w:szCs w:val="24"/>
                <w:highlight w:val="none"/>
              </w:rPr>
            </w:pPr>
            <w:r>
              <w:rPr>
                <w:rFonts w:hint="eastAsia" w:ascii="宋体" w:hAnsi="宋体" w:cs="宋体"/>
                <w:sz w:val="24"/>
                <w:szCs w:val="24"/>
                <w:highlight w:val="none"/>
              </w:rPr>
              <w:t>16</w:t>
            </w:r>
          </w:p>
        </w:tc>
        <w:tc>
          <w:tcPr>
            <w:tcW w:w="2968" w:type="pct"/>
            <w:tcBorders>
              <w:top w:val="outset" w:color="auto" w:sz="6" w:space="0"/>
              <w:left w:val="outset" w:color="auto" w:sz="6" w:space="0"/>
              <w:bottom w:val="outset" w:color="auto" w:sz="6" w:space="0"/>
              <w:right w:val="outset" w:color="auto" w:sz="6" w:space="0"/>
            </w:tcBorders>
            <w:vAlign w:val="center"/>
          </w:tcPr>
          <w:p>
            <w:pPr>
              <w:spacing w:line="360" w:lineRule="auto"/>
              <w:jc w:val="left"/>
              <w:rPr>
                <w:rFonts w:ascii="宋体" w:hAnsi="宋体" w:cs="宋体"/>
                <w:sz w:val="24"/>
                <w:szCs w:val="24"/>
                <w:highlight w:val="none"/>
              </w:rPr>
            </w:pPr>
            <w:r>
              <w:rPr>
                <w:rFonts w:hint="eastAsia" w:ascii="宋体" w:hAnsi="宋体" w:cs="宋体"/>
                <w:sz w:val="24"/>
                <w:szCs w:val="24"/>
                <w:highlight w:val="none"/>
              </w:rPr>
              <w:t>投标人对招标范围和工期要求有准确的理解，提供切实可行的建设方案。</w:t>
            </w:r>
          </w:p>
          <w:p>
            <w:pPr>
              <w:spacing w:line="360" w:lineRule="auto"/>
              <w:jc w:val="left"/>
              <w:rPr>
                <w:rFonts w:ascii="宋体" w:hAnsi="宋体" w:cs="宋体"/>
                <w:sz w:val="24"/>
                <w:szCs w:val="24"/>
                <w:highlight w:val="none"/>
              </w:rPr>
            </w:pPr>
            <w:r>
              <w:rPr>
                <w:rFonts w:hint="eastAsia" w:ascii="宋体" w:hAnsi="宋体" w:cs="宋体"/>
                <w:b/>
                <w:bCs/>
                <w:sz w:val="24"/>
                <w:szCs w:val="24"/>
                <w:highlight w:val="none"/>
              </w:rPr>
              <w:t>线上售票系统：</w:t>
            </w:r>
            <w:r>
              <w:rPr>
                <w:rFonts w:hint="eastAsia" w:ascii="宋体" w:hAnsi="宋体" w:cs="宋体"/>
                <w:sz w:val="24"/>
                <w:szCs w:val="24"/>
                <w:highlight w:val="none"/>
              </w:rPr>
              <w:t>能够满足招标文件中新建业务平台系统的能力要求，详细描述线上售票系统的解决方案，根据方案是否详细、技术是否合理可行，功能是否满足招标文件的要求进行评分。</w:t>
            </w:r>
          </w:p>
          <w:p>
            <w:pPr>
              <w:spacing w:line="360" w:lineRule="auto"/>
              <w:jc w:val="left"/>
              <w:rPr>
                <w:rFonts w:ascii="宋体" w:hAnsi="宋体" w:cs="宋体"/>
                <w:sz w:val="24"/>
                <w:szCs w:val="24"/>
                <w:highlight w:val="none"/>
              </w:rPr>
            </w:pPr>
            <w:r>
              <w:rPr>
                <w:rFonts w:hint="eastAsia" w:ascii="宋体" w:hAnsi="宋体" w:cs="宋体"/>
                <w:sz w:val="24"/>
                <w:szCs w:val="24"/>
                <w:highlight w:val="none"/>
              </w:rPr>
              <w:t>优秀者：8-6分；良好者：5-3分；一般者：2-1分；未提供符合要求的方案本项得0分。</w:t>
            </w:r>
          </w:p>
          <w:p>
            <w:pPr>
              <w:spacing w:line="360" w:lineRule="auto"/>
              <w:jc w:val="left"/>
              <w:rPr>
                <w:rFonts w:ascii="宋体" w:hAnsi="宋体" w:cs="宋体"/>
                <w:sz w:val="24"/>
                <w:szCs w:val="24"/>
                <w:highlight w:val="none"/>
              </w:rPr>
            </w:pPr>
            <w:r>
              <w:rPr>
                <w:rFonts w:hint="eastAsia" w:ascii="宋体" w:hAnsi="宋体" w:cs="宋体"/>
                <w:b/>
                <w:bCs/>
                <w:sz w:val="24"/>
                <w:szCs w:val="24"/>
                <w:highlight w:val="none"/>
              </w:rPr>
              <w:t>后台管理系统：</w:t>
            </w:r>
            <w:r>
              <w:rPr>
                <w:rFonts w:hint="eastAsia" w:ascii="宋体" w:hAnsi="宋体" w:cs="宋体"/>
                <w:sz w:val="24"/>
                <w:szCs w:val="24"/>
                <w:highlight w:val="none"/>
              </w:rPr>
              <w:t>能够满足招标文件中新建业务平台系统的能力要求，详细描述后台管理系统的解决方案，根据方案是否详细、技术是否合理可行，功能是否满足招标文件的要求进行评分。</w:t>
            </w:r>
          </w:p>
          <w:p>
            <w:pPr>
              <w:spacing w:line="360" w:lineRule="auto"/>
              <w:jc w:val="left"/>
              <w:rPr>
                <w:rFonts w:ascii="宋体" w:hAnsi="宋体" w:cs="宋体"/>
                <w:sz w:val="24"/>
                <w:szCs w:val="24"/>
                <w:highlight w:val="none"/>
              </w:rPr>
            </w:pPr>
            <w:r>
              <w:rPr>
                <w:rFonts w:hint="eastAsia" w:ascii="宋体" w:hAnsi="宋体" w:cs="宋体"/>
                <w:sz w:val="24"/>
                <w:szCs w:val="24"/>
                <w:highlight w:val="none"/>
              </w:rPr>
              <w:t>优秀者：8-6分；良好者：5-3分；一般者：2-1分；未提供符合要求的方案本项得0分。</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334" w:type="pct"/>
            <w:vMerge w:val="continue"/>
            <w:tcBorders>
              <w:top w:val="outset" w:color="auto" w:sz="6" w:space="0"/>
              <w:left w:val="outset" w:color="auto" w:sz="6" w:space="0"/>
              <w:bottom w:val="outset" w:color="auto" w:sz="6" w:space="0"/>
              <w:right w:val="outset" w:color="auto" w:sz="6" w:space="0"/>
            </w:tcBorders>
            <w:vAlign w:val="center"/>
          </w:tcPr>
          <w:p>
            <w:pPr>
              <w:spacing w:line="360" w:lineRule="auto"/>
              <w:jc w:val="left"/>
              <w:rPr>
                <w:rFonts w:ascii="宋体" w:hAnsi="宋体" w:cs="宋体"/>
                <w:sz w:val="24"/>
                <w:szCs w:val="24"/>
              </w:rPr>
            </w:pPr>
          </w:p>
        </w:tc>
        <w:tc>
          <w:tcPr>
            <w:tcW w:w="617" w:type="pct"/>
            <w:vMerge w:val="continue"/>
            <w:tcBorders>
              <w:top w:val="outset" w:color="auto" w:sz="6" w:space="0"/>
              <w:left w:val="outset" w:color="auto" w:sz="6" w:space="0"/>
              <w:bottom w:val="outset" w:color="auto" w:sz="6" w:space="0"/>
              <w:right w:val="outset" w:color="auto" w:sz="6" w:space="0"/>
            </w:tcBorders>
            <w:vAlign w:val="center"/>
          </w:tcPr>
          <w:p>
            <w:pPr>
              <w:spacing w:line="360" w:lineRule="auto"/>
              <w:jc w:val="center"/>
              <w:rPr>
                <w:rFonts w:ascii="宋体" w:hAnsi="宋体" w:cs="宋体"/>
                <w:sz w:val="24"/>
                <w:szCs w:val="24"/>
              </w:rPr>
            </w:pPr>
          </w:p>
        </w:tc>
        <w:tc>
          <w:tcPr>
            <w:tcW w:w="613" w:type="pct"/>
            <w:tcBorders>
              <w:top w:val="outset" w:color="auto" w:sz="6" w:space="0"/>
              <w:left w:val="outset" w:color="auto" w:sz="6" w:space="0"/>
              <w:bottom w:val="outset" w:color="auto" w:sz="6" w:space="0"/>
              <w:right w:val="outset" w:color="auto" w:sz="6" w:space="0"/>
            </w:tcBorders>
            <w:vAlign w:val="center"/>
          </w:tcPr>
          <w:p>
            <w:pPr>
              <w:spacing w:line="360" w:lineRule="auto"/>
              <w:jc w:val="left"/>
              <w:rPr>
                <w:rFonts w:ascii="宋体" w:hAnsi="宋体" w:cs="宋体"/>
                <w:sz w:val="24"/>
                <w:szCs w:val="24"/>
              </w:rPr>
            </w:pPr>
            <w:r>
              <w:rPr>
                <w:rFonts w:hint="eastAsia" w:ascii="宋体" w:hAnsi="宋体" w:cs="宋体"/>
                <w:sz w:val="24"/>
                <w:szCs w:val="24"/>
              </w:rPr>
              <w:t>项目技术架构评价</w:t>
            </w:r>
          </w:p>
        </w:tc>
        <w:tc>
          <w:tcPr>
            <w:tcW w:w="466" w:type="pct"/>
            <w:tcBorders>
              <w:top w:val="outset" w:color="auto" w:sz="6" w:space="0"/>
              <w:left w:val="outset" w:color="auto" w:sz="6" w:space="0"/>
              <w:bottom w:val="outset" w:color="auto" w:sz="6" w:space="0"/>
              <w:right w:val="outset" w:color="auto" w:sz="6" w:space="0"/>
            </w:tcBorders>
            <w:vAlign w:val="center"/>
          </w:tcPr>
          <w:p>
            <w:pPr>
              <w:spacing w:line="360" w:lineRule="auto"/>
              <w:jc w:val="center"/>
              <w:rPr>
                <w:rFonts w:ascii="宋体" w:hAnsi="宋体" w:cs="宋体"/>
                <w:sz w:val="24"/>
                <w:szCs w:val="24"/>
                <w:highlight w:val="none"/>
              </w:rPr>
            </w:pPr>
            <w:r>
              <w:rPr>
                <w:rFonts w:hint="eastAsia" w:ascii="宋体" w:hAnsi="宋体" w:cs="宋体"/>
                <w:sz w:val="24"/>
                <w:szCs w:val="24"/>
                <w:highlight w:val="none"/>
              </w:rPr>
              <w:t>3</w:t>
            </w:r>
          </w:p>
        </w:tc>
        <w:tc>
          <w:tcPr>
            <w:tcW w:w="2968" w:type="pct"/>
            <w:tcBorders>
              <w:top w:val="outset" w:color="auto" w:sz="6" w:space="0"/>
              <w:left w:val="outset" w:color="auto" w:sz="6" w:space="0"/>
              <w:bottom w:val="outset" w:color="auto" w:sz="6" w:space="0"/>
              <w:right w:val="outset" w:color="auto" w:sz="6" w:space="0"/>
            </w:tcBorders>
            <w:vAlign w:val="center"/>
          </w:tcPr>
          <w:p>
            <w:pPr>
              <w:spacing w:line="360" w:lineRule="auto"/>
              <w:jc w:val="left"/>
              <w:rPr>
                <w:rFonts w:ascii="宋体" w:hAnsi="宋体" w:cs="宋体"/>
                <w:sz w:val="24"/>
                <w:szCs w:val="24"/>
                <w:highlight w:val="none"/>
              </w:rPr>
            </w:pPr>
            <w:r>
              <w:rPr>
                <w:rFonts w:hint="eastAsia" w:ascii="宋体" w:hAnsi="宋体" w:cs="宋体"/>
                <w:sz w:val="24"/>
                <w:szCs w:val="24"/>
                <w:highlight w:val="none"/>
              </w:rPr>
              <w:t>投标人需要采用先进可扩展的系统技术架构，避免“烟囱式”系统建设，适应未来平台发展和创新要求，能够详细描述系统设计思路、技术架构、技术选型、系统性能等方面的内容。</w:t>
            </w:r>
          </w:p>
          <w:p>
            <w:pPr>
              <w:spacing w:line="360" w:lineRule="auto"/>
              <w:jc w:val="left"/>
              <w:rPr>
                <w:rFonts w:ascii="宋体" w:hAnsi="宋体" w:cs="宋体"/>
                <w:sz w:val="24"/>
                <w:szCs w:val="24"/>
                <w:highlight w:val="none"/>
              </w:rPr>
            </w:pPr>
            <w:r>
              <w:rPr>
                <w:rFonts w:hint="eastAsia" w:ascii="宋体" w:hAnsi="宋体" w:cs="宋体"/>
                <w:sz w:val="24"/>
                <w:szCs w:val="24"/>
                <w:highlight w:val="none"/>
              </w:rPr>
              <w:t>优秀者：3分；良好者：2分；一般者：1分；未提供符合要求的方案本项得0分。</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334" w:type="pct"/>
            <w:vMerge w:val="continue"/>
            <w:tcBorders>
              <w:top w:val="outset" w:color="auto" w:sz="6" w:space="0"/>
              <w:left w:val="outset" w:color="auto" w:sz="6" w:space="0"/>
              <w:bottom w:val="outset" w:color="auto" w:sz="6" w:space="0"/>
              <w:right w:val="outset" w:color="auto" w:sz="6" w:space="0"/>
            </w:tcBorders>
            <w:vAlign w:val="center"/>
          </w:tcPr>
          <w:p>
            <w:pPr>
              <w:spacing w:line="360" w:lineRule="auto"/>
              <w:jc w:val="left"/>
              <w:rPr>
                <w:rFonts w:ascii="宋体" w:hAnsi="宋体" w:cs="宋体"/>
                <w:sz w:val="24"/>
                <w:szCs w:val="24"/>
              </w:rPr>
            </w:pPr>
          </w:p>
        </w:tc>
        <w:tc>
          <w:tcPr>
            <w:tcW w:w="617" w:type="pct"/>
            <w:vMerge w:val="continue"/>
            <w:tcBorders>
              <w:top w:val="outset" w:color="auto" w:sz="6" w:space="0"/>
              <w:left w:val="outset" w:color="auto" w:sz="6" w:space="0"/>
              <w:bottom w:val="outset" w:color="auto" w:sz="6" w:space="0"/>
              <w:right w:val="outset" w:color="auto" w:sz="6" w:space="0"/>
            </w:tcBorders>
            <w:vAlign w:val="center"/>
          </w:tcPr>
          <w:p>
            <w:pPr>
              <w:spacing w:line="360" w:lineRule="auto"/>
              <w:jc w:val="center"/>
              <w:rPr>
                <w:rFonts w:ascii="宋体" w:hAnsi="宋体" w:cs="宋体"/>
                <w:sz w:val="24"/>
                <w:szCs w:val="24"/>
              </w:rPr>
            </w:pPr>
          </w:p>
        </w:tc>
        <w:tc>
          <w:tcPr>
            <w:tcW w:w="613" w:type="pct"/>
            <w:tcBorders>
              <w:top w:val="outset" w:color="auto" w:sz="6" w:space="0"/>
              <w:left w:val="outset" w:color="auto" w:sz="6" w:space="0"/>
              <w:bottom w:val="outset" w:color="auto" w:sz="6" w:space="0"/>
              <w:right w:val="outset" w:color="auto" w:sz="6" w:space="0"/>
            </w:tcBorders>
            <w:vAlign w:val="center"/>
          </w:tcPr>
          <w:p>
            <w:pPr>
              <w:spacing w:line="360" w:lineRule="auto"/>
              <w:jc w:val="left"/>
              <w:rPr>
                <w:rFonts w:ascii="宋体" w:hAnsi="宋体" w:cs="宋体"/>
                <w:sz w:val="24"/>
                <w:szCs w:val="24"/>
              </w:rPr>
            </w:pPr>
            <w:r>
              <w:rPr>
                <w:rFonts w:hint="eastAsia" w:ascii="宋体" w:hAnsi="宋体" w:cs="宋体"/>
                <w:sz w:val="24"/>
                <w:szCs w:val="24"/>
              </w:rPr>
              <w:t>项目实施方案评价</w:t>
            </w:r>
          </w:p>
        </w:tc>
        <w:tc>
          <w:tcPr>
            <w:tcW w:w="466" w:type="pct"/>
            <w:tcBorders>
              <w:top w:val="outset" w:color="auto" w:sz="6" w:space="0"/>
              <w:left w:val="outset" w:color="auto" w:sz="6" w:space="0"/>
              <w:bottom w:val="outset" w:color="auto" w:sz="6" w:space="0"/>
              <w:right w:val="outset" w:color="auto" w:sz="6" w:space="0"/>
            </w:tcBorders>
            <w:vAlign w:val="center"/>
          </w:tcPr>
          <w:p>
            <w:pPr>
              <w:spacing w:line="360" w:lineRule="auto"/>
              <w:jc w:val="center"/>
              <w:rPr>
                <w:rFonts w:ascii="宋体" w:hAnsi="宋体" w:cs="宋体"/>
                <w:sz w:val="24"/>
                <w:szCs w:val="24"/>
                <w:highlight w:val="none"/>
              </w:rPr>
            </w:pPr>
            <w:r>
              <w:rPr>
                <w:rFonts w:hint="eastAsia" w:ascii="宋体" w:hAnsi="宋体" w:cs="宋体"/>
                <w:sz w:val="24"/>
                <w:szCs w:val="24"/>
                <w:highlight w:val="none"/>
              </w:rPr>
              <w:t>6</w:t>
            </w:r>
          </w:p>
        </w:tc>
        <w:tc>
          <w:tcPr>
            <w:tcW w:w="2968" w:type="pct"/>
            <w:tcBorders>
              <w:top w:val="outset" w:color="auto" w:sz="6" w:space="0"/>
              <w:left w:val="outset" w:color="auto" w:sz="6" w:space="0"/>
              <w:bottom w:val="outset" w:color="auto" w:sz="6" w:space="0"/>
              <w:right w:val="outset" w:color="auto" w:sz="6" w:space="0"/>
            </w:tcBorders>
            <w:vAlign w:val="center"/>
          </w:tcPr>
          <w:p>
            <w:pPr>
              <w:spacing w:line="360" w:lineRule="auto"/>
              <w:jc w:val="left"/>
              <w:rPr>
                <w:rFonts w:ascii="宋体" w:hAnsi="宋体" w:cs="宋体"/>
                <w:sz w:val="24"/>
                <w:szCs w:val="24"/>
                <w:highlight w:val="none"/>
              </w:rPr>
            </w:pPr>
            <w:r>
              <w:rPr>
                <w:rFonts w:hint="eastAsia" w:ascii="宋体" w:hAnsi="宋体" w:cs="宋体"/>
                <w:sz w:val="24"/>
                <w:szCs w:val="24"/>
                <w:highlight w:val="none"/>
              </w:rPr>
              <w:t>投标人需提供</w:t>
            </w:r>
            <w:r>
              <w:rPr>
                <w:rFonts w:hint="eastAsia" w:ascii="宋体" w:hAnsi="宋体" w:cs="宋体"/>
                <w:b/>
                <w:bCs/>
                <w:sz w:val="24"/>
                <w:szCs w:val="24"/>
                <w:highlight w:val="none"/>
              </w:rPr>
              <w:t>项目实施方案</w:t>
            </w:r>
            <w:r>
              <w:rPr>
                <w:rFonts w:hint="eastAsia" w:ascii="宋体" w:hAnsi="宋体" w:cs="宋体"/>
                <w:sz w:val="24"/>
                <w:szCs w:val="24"/>
                <w:highlight w:val="none"/>
              </w:rPr>
              <w:t>，具备项目实施策略、项目管理方案、项目进度管理、项目风险控制等方面，综合考察实施方案是否详实、完整、合理，是否含有实质性措施，确保本项目实施按计划顺利实施成功等。</w:t>
            </w:r>
          </w:p>
          <w:p>
            <w:pPr>
              <w:spacing w:line="360" w:lineRule="auto"/>
              <w:jc w:val="left"/>
              <w:rPr>
                <w:rFonts w:ascii="宋体" w:hAnsi="宋体" w:cs="宋体"/>
                <w:sz w:val="24"/>
                <w:szCs w:val="24"/>
                <w:highlight w:val="none"/>
              </w:rPr>
            </w:pPr>
            <w:r>
              <w:rPr>
                <w:rFonts w:hint="eastAsia" w:ascii="宋体" w:hAnsi="宋体" w:cs="宋体"/>
                <w:sz w:val="24"/>
                <w:szCs w:val="24"/>
                <w:highlight w:val="none"/>
              </w:rPr>
              <w:t>优秀者：6-5分；良好者：4-3分；一般者：2-1分，未提供符合要求的方案本项得0分。</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334" w:type="pct"/>
            <w:vMerge w:val="continue"/>
            <w:tcBorders>
              <w:top w:val="outset" w:color="auto" w:sz="6" w:space="0"/>
              <w:left w:val="outset" w:color="auto" w:sz="6" w:space="0"/>
              <w:bottom w:val="outset" w:color="auto" w:sz="6" w:space="0"/>
              <w:right w:val="outset" w:color="auto" w:sz="6" w:space="0"/>
            </w:tcBorders>
            <w:vAlign w:val="center"/>
          </w:tcPr>
          <w:p>
            <w:pPr>
              <w:spacing w:line="360" w:lineRule="auto"/>
              <w:jc w:val="left"/>
              <w:rPr>
                <w:rFonts w:ascii="宋体" w:hAnsi="宋体" w:cs="宋体"/>
                <w:sz w:val="24"/>
                <w:szCs w:val="24"/>
              </w:rPr>
            </w:pPr>
          </w:p>
        </w:tc>
        <w:tc>
          <w:tcPr>
            <w:tcW w:w="617" w:type="pct"/>
            <w:vMerge w:val="continue"/>
            <w:tcBorders>
              <w:top w:val="outset" w:color="auto" w:sz="6" w:space="0"/>
              <w:left w:val="outset" w:color="auto" w:sz="6" w:space="0"/>
              <w:bottom w:val="outset" w:color="auto" w:sz="6" w:space="0"/>
              <w:right w:val="outset" w:color="auto" w:sz="6" w:space="0"/>
            </w:tcBorders>
            <w:vAlign w:val="center"/>
          </w:tcPr>
          <w:p>
            <w:pPr>
              <w:spacing w:line="360" w:lineRule="auto"/>
              <w:jc w:val="center"/>
              <w:rPr>
                <w:rFonts w:ascii="宋体" w:hAnsi="宋体" w:cs="宋体"/>
                <w:sz w:val="24"/>
                <w:szCs w:val="24"/>
              </w:rPr>
            </w:pPr>
          </w:p>
        </w:tc>
        <w:tc>
          <w:tcPr>
            <w:tcW w:w="613" w:type="pct"/>
            <w:tcBorders>
              <w:top w:val="outset" w:color="auto" w:sz="6" w:space="0"/>
              <w:left w:val="outset" w:color="auto" w:sz="6" w:space="0"/>
              <w:bottom w:val="outset" w:color="auto" w:sz="6" w:space="0"/>
              <w:right w:val="outset" w:color="auto" w:sz="6" w:space="0"/>
            </w:tcBorders>
            <w:vAlign w:val="center"/>
          </w:tcPr>
          <w:p>
            <w:pPr>
              <w:spacing w:line="360" w:lineRule="auto"/>
              <w:jc w:val="left"/>
              <w:rPr>
                <w:rFonts w:ascii="宋体" w:hAnsi="宋体" w:cs="宋体"/>
                <w:sz w:val="24"/>
                <w:szCs w:val="24"/>
              </w:rPr>
            </w:pPr>
            <w:r>
              <w:rPr>
                <w:rFonts w:hint="eastAsia" w:ascii="宋体" w:hAnsi="宋体" w:cs="宋体"/>
                <w:sz w:val="24"/>
                <w:szCs w:val="24"/>
                <w:highlight w:val="none"/>
              </w:rPr>
              <w:t>项目组织管理架构及人力资源评价</w:t>
            </w:r>
          </w:p>
        </w:tc>
        <w:tc>
          <w:tcPr>
            <w:tcW w:w="466" w:type="pct"/>
            <w:tcBorders>
              <w:top w:val="outset" w:color="auto" w:sz="6" w:space="0"/>
              <w:left w:val="outset" w:color="auto" w:sz="6" w:space="0"/>
              <w:bottom w:val="outset" w:color="auto" w:sz="6" w:space="0"/>
              <w:right w:val="outset" w:color="auto" w:sz="6" w:space="0"/>
            </w:tcBorders>
            <w:vAlign w:val="center"/>
          </w:tcPr>
          <w:p>
            <w:pPr>
              <w:spacing w:line="360" w:lineRule="auto"/>
              <w:jc w:val="center"/>
              <w:rPr>
                <w:rFonts w:ascii="宋体" w:hAnsi="宋体" w:cs="宋体"/>
                <w:sz w:val="24"/>
                <w:szCs w:val="24"/>
              </w:rPr>
            </w:pPr>
            <w:r>
              <w:rPr>
                <w:rFonts w:hint="eastAsia" w:ascii="宋体" w:hAnsi="宋体" w:cs="宋体"/>
                <w:sz w:val="24"/>
                <w:szCs w:val="24"/>
              </w:rPr>
              <w:t>10</w:t>
            </w:r>
          </w:p>
        </w:tc>
        <w:tc>
          <w:tcPr>
            <w:tcW w:w="2968" w:type="pct"/>
            <w:tcBorders>
              <w:top w:val="outset" w:color="auto" w:sz="6" w:space="0"/>
              <w:left w:val="outset" w:color="auto" w:sz="6" w:space="0"/>
              <w:bottom w:val="outset" w:color="auto" w:sz="6" w:space="0"/>
              <w:right w:val="outset" w:color="auto" w:sz="6" w:space="0"/>
            </w:tcBorders>
            <w:vAlign w:val="center"/>
          </w:tcPr>
          <w:p>
            <w:pPr>
              <w:spacing w:line="360" w:lineRule="auto"/>
              <w:jc w:val="left"/>
              <w:rPr>
                <w:rFonts w:ascii="宋体" w:hAnsi="宋体" w:cs="宋体"/>
                <w:sz w:val="24"/>
                <w:szCs w:val="24"/>
              </w:rPr>
            </w:pPr>
            <w:r>
              <w:rPr>
                <w:rFonts w:hint="eastAsia" w:ascii="宋体" w:hAnsi="宋体" w:cs="宋体"/>
                <w:sz w:val="24"/>
                <w:szCs w:val="24"/>
              </w:rPr>
              <w:t>投标人需提供本项目组织管理架构、项目负责人、项目团队人员，项目组成员需要不少于5人。</w:t>
            </w:r>
          </w:p>
          <w:p>
            <w:pPr>
              <w:spacing w:line="360" w:lineRule="auto"/>
              <w:jc w:val="left"/>
              <w:rPr>
                <w:rFonts w:ascii="宋体" w:hAnsi="宋体" w:cs="宋体"/>
                <w:sz w:val="24"/>
                <w:szCs w:val="24"/>
              </w:rPr>
            </w:pPr>
            <w:r>
              <w:rPr>
                <w:rFonts w:hint="eastAsia" w:ascii="宋体" w:hAnsi="宋体" w:cs="宋体"/>
                <w:sz w:val="24"/>
                <w:szCs w:val="24"/>
              </w:rPr>
              <w:t>优秀者：项目团队至少1人具备高级职称，至少2人具备PMP证书，提供相应证明材料者得10分；</w:t>
            </w:r>
          </w:p>
          <w:p>
            <w:pPr>
              <w:spacing w:line="360" w:lineRule="auto"/>
              <w:jc w:val="left"/>
              <w:rPr>
                <w:rFonts w:ascii="宋体" w:hAnsi="宋体" w:cs="宋体"/>
                <w:sz w:val="24"/>
                <w:szCs w:val="24"/>
              </w:rPr>
            </w:pPr>
            <w:r>
              <w:rPr>
                <w:rFonts w:hint="eastAsia" w:ascii="宋体" w:hAnsi="宋体" w:cs="宋体"/>
                <w:sz w:val="24"/>
                <w:szCs w:val="24"/>
              </w:rPr>
              <w:t>良好者：项目团队至少1人具备高级职称，至少1人具备PMP证书，提供相应证明材料者得6分；</w:t>
            </w:r>
          </w:p>
          <w:p>
            <w:pPr>
              <w:spacing w:line="360" w:lineRule="auto"/>
              <w:jc w:val="left"/>
              <w:rPr>
                <w:rFonts w:ascii="宋体" w:hAnsi="宋体" w:cs="宋体"/>
                <w:sz w:val="24"/>
                <w:szCs w:val="24"/>
              </w:rPr>
            </w:pPr>
            <w:r>
              <w:rPr>
                <w:rFonts w:hint="eastAsia" w:ascii="宋体" w:hAnsi="宋体" w:cs="宋体"/>
                <w:sz w:val="24"/>
                <w:szCs w:val="24"/>
              </w:rPr>
              <w:t>一般者：项目团队至少1人具备高级职称或者PMP证书，提供相应证明材料者得3分。</w:t>
            </w:r>
          </w:p>
          <w:p>
            <w:pPr>
              <w:spacing w:line="360" w:lineRule="auto"/>
              <w:jc w:val="left"/>
              <w:rPr>
                <w:rFonts w:ascii="宋体" w:hAnsi="宋体" w:cs="宋体"/>
                <w:sz w:val="24"/>
                <w:szCs w:val="24"/>
              </w:rPr>
            </w:pPr>
            <w:r>
              <w:rPr>
                <w:rFonts w:hint="eastAsia" w:ascii="宋体" w:hAnsi="宋体" w:cs="宋体"/>
                <w:sz w:val="24"/>
                <w:szCs w:val="24"/>
              </w:rPr>
              <w:t>未提供符合要求的方案本项得0分。</w:t>
            </w:r>
          </w:p>
          <w:p>
            <w:pPr>
              <w:spacing w:line="360" w:lineRule="auto"/>
              <w:jc w:val="left"/>
              <w:rPr>
                <w:rFonts w:ascii="宋体" w:hAnsi="宋体" w:cs="宋体"/>
                <w:sz w:val="24"/>
                <w:szCs w:val="24"/>
              </w:rPr>
            </w:pPr>
            <w:r>
              <w:rPr>
                <w:rFonts w:hint="eastAsia" w:ascii="宋体" w:hAnsi="宋体" w:cs="宋体"/>
                <w:sz w:val="24"/>
                <w:szCs w:val="24"/>
              </w:rPr>
              <w:t>注：投标人需提供项目人员相应资质的证明材料以及近6个月（2020年12月至2021年5月）社保缴纳证明。</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334" w:type="pct"/>
            <w:vMerge w:val="restart"/>
            <w:tcBorders>
              <w:top w:val="outset" w:color="auto" w:sz="6" w:space="0"/>
              <w:left w:val="outset" w:color="auto" w:sz="6" w:space="0"/>
              <w:bottom w:val="outset" w:color="auto" w:sz="6" w:space="0"/>
              <w:right w:val="outset" w:color="auto" w:sz="6" w:space="0"/>
            </w:tcBorders>
            <w:vAlign w:val="center"/>
          </w:tcPr>
          <w:p>
            <w:pPr>
              <w:spacing w:line="360" w:lineRule="auto"/>
              <w:jc w:val="left"/>
              <w:rPr>
                <w:rFonts w:ascii="宋体" w:hAnsi="宋体" w:cs="宋体"/>
                <w:sz w:val="24"/>
                <w:szCs w:val="24"/>
              </w:rPr>
            </w:pPr>
            <w:r>
              <w:rPr>
                <w:rFonts w:hint="eastAsia" w:ascii="宋体" w:hAnsi="宋体" w:cs="宋体"/>
                <w:sz w:val="24"/>
                <w:szCs w:val="24"/>
              </w:rPr>
              <w:t>（3）</w:t>
            </w:r>
          </w:p>
        </w:tc>
        <w:tc>
          <w:tcPr>
            <w:tcW w:w="617" w:type="pct"/>
            <w:vMerge w:val="restart"/>
            <w:tcBorders>
              <w:top w:val="outset" w:color="auto" w:sz="6" w:space="0"/>
              <w:left w:val="outset" w:color="auto" w:sz="6" w:space="0"/>
              <w:bottom w:val="outset" w:color="auto" w:sz="6" w:space="0"/>
              <w:right w:val="outset" w:color="auto" w:sz="6" w:space="0"/>
            </w:tcBorders>
            <w:vAlign w:val="center"/>
          </w:tcPr>
          <w:p>
            <w:pPr>
              <w:spacing w:line="360" w:lineRule="auto"/>
              <w:jc w:val="center"/>
              <w:rPr>
                <w:rFonts w:ascii="宋体" w:hAnsi="宋体" w:cs="宋体"/>
                <w:sz w:val="24"/>
                <w:szCs w:val="24"/>
              </w:rPr>
            </w:pPr>
            <w:r>
              <w:rPr>
                <w:rFonts w:hint="eastAsia" w:ascii="宋体" w:hAnsi="宋体" w:cs="宋体"/>
                <w:sz w:val="24"/>
                <w:szCs w:val="24"/>
              </w:rPr>
              <w:t>商务评审</w:t>
            </w:r>
          </w:p>
        </w:tc>
        <w:tc>
          <w:tcPr>
            <w:tcW w:w="613" w:type="pct"/>
            <w:tcBorders>
              <w:top w:val="outset" w:color="auto" w:sz="6" w:space="0"/>
              <w:left w:val="outset" w:color="auto" w:sz="6" w:space="0"/>
              <w:bottom w:val="outset" w:color="auto" w:sz="6" w:space="0"/>
              <w:right w:val="outset" w:color="auto" w:sz="6" w:space="0"/>
            </w:tcBorders>
            <w:vAlign w:val="center"/>
          </w:tcPr>
          <w:p>
            <w:pPr>
              <w:spacing w:line="360" w:lineRule="auto"/>
              <w:jc w:val="left"/>
              <w:rPr>
                <w:rFonts w:ascii="宋体" w:hAnsi="宋体" w:cs="宋体"/>
                <w:sz w:val="24"/>
                <w:szCs w:val="24"/>
              </w:rPr>
            </w:pPr>
            <w:r>
              <w:rPr>
                <w:rFonts w:hint="eastAsia" w:ascii="宋体" w:hAnsi="宋体" w:cs="宋体"/>
                <w:sz w:val="24"/>
                <w:szCs w:val="24"/>
              </w:rPr>
              <w:t>资质状况评价</w:t>
            </w:r>
          </w:p>
        </w:tc>
        <w:tc>
          <w:tcPr>
            <w:tcW w:w="466" w:type="pct"/>
            <w:tcBorders>
              <w:top w:val="outset" w:color="auto" w:sz="6" w:space="0"/>
              <w:left w:val="outset" w:color="auto" w:sz="6" w:space="0"/>
              <w:bottom w:val="outset" w:color="auto" w:sz="6" w:space="0"/>
              <w:right w:val="outset" w:color="auto" w:sz="6" w:space="0"/>
            </w:tcBorders>
            <w:vAlign w:val="center"/>
          </w:tcPr>
          <w:p>
            <w:pPr>
              <w:spacing w:line="360" w:lineRule="auto"/>
              <w:jc w:val="center"/>
              <w:rPr>
                <w:rFonts w:ascii="宋体" w:hAnsi="宋体" w:cs="宋体"/>
                <w:sz w:val="24"/>
                <w:szCs w:val="24"/>
              </w:rPr>
            </w:pPr>
            <w:r>
              <w:rPr>
                <w:rFonts w:hint="eastAsia" w:ascii="宋体" w:hAnsi="宋体" w:cs="宋体"/>
                <w:color w:val="FF0000"/>
                <w:sz w:val="24"/>
                <w:szCs w:val="24"/>
              </w:rPr>
              <w:t>6</w:t>
            </w:r>
          </w:p>
        </w:tc>
        <w:tc>
          <w:tcPr>
            <w:tcW w:w="2968" w:type="pct"/>
            <w:tcBorders>
              <w:top w:val="outset" w:color="auto" w:sz="6" w:space="0"/>
              <w:left w:val="outset" w:color="auto" w:sz="6" w:space="0"/>
              <w:bottom w:val="outset" w:color="auto" w:sz="6" w:space="0"/>
              <w:right w:val="outset" w:color="auto" w:sz="6" w:space="0"/>
            </w:tcBorders>
            <w:vAlign w:val="center"/>
          </w:tcPr>
          <w:p>
            <w:pPr>
              <w:spacing w:line="360" w:lineRule="auto"/>
              <w:jc w:val="left"/>
              <w:rPr>
                <w:rFonts w:ascii="宋体" w:hAnsi="宋体" w:cs="宋体"/>
                <w:sz w:val="24"/>
                <w:szCs w:val="24"/>
              </w:rPr>
            </w:pPr>
            <w:r>
              <w:rPr>
                <w:rFonts w:hint="eastAsia" w:ascii="宋体" w:hAnsi="宋体" w:cs="宋体"/>
                <w:sz w:val="24"/>
                <w:szCs w:val="24"/>
              </w:rPr>
              <w:t>投标人属于高新技术企业，且提供高新技术企业证书得</w:t>
            </w:r>
            <w:r>
              <w:rPr>
                <w:rFonts w:hint="eastAsia" w:ascii="宋体" w:hAnsi="宋体" w:cs="宋体"/>
                <w:color w:val="FF0000"/>
                <w:sz w:val="24"/>
                <w:szCs w:val="24"/>
              </w:rPr>
              <w:t>2分</w:t>
            </w:r>
            <w:r>
              <w:rPr>
                <w:rFonts w:hint="eastAsia" w:ascii="宋体" w:hAnsi="宋体" w:cs="宋体"/>
                <w:sz w:val="24"/>
                <w:szCs w:val="24"/>
              </w:rPr>
              <w:t>。</w:t>
            </w:r>
          </w:p>
          <w:p>
            <w:pPr>
              <w:spacing w:line="360" w:lineRule="auto"/>
              <w:jc w:val="left"/>
              <w:rPr>
                <w:rFonts w:ascii="宋体" w:hAnsi="宋体" w:cs="宋体"/>
                <w:sz w:val="24"/>
                <w:szCs w:val="24"/>
              </w:rPr>
            </w:pPr>
            <w:r>
              <w:rPr>
                <w:rFonts w:hint="eastAsia" w:ascii="宋体" w:hAnsi="宋体" w:cs="宋体"/>
                <w:sz w:val="24"/>
                <w:szCs w:val="24"/>
              </w:rPr>
              <w:t>投标人属于软件企业，且提供软件企业证书得</w:t>
            </w:r>
            <w:r>
              <w:rPr>
                <w:rFonts w:hint="eastAsia" w:ascii="宋体" w:hAnsi="宋体" w:cs="宋体"/>
                <w:color w:val="FF0000"/>
                <w:sz w:val="24"/>
                <w:szCs w:val="24"/>
              </w:rPr>
              <w:t>2分</w:t>
            </w:r>
            <w:r>
              <w:rPr>
                <w:rFonts w:hint="eastAsia" w:ascii="宋体" w:hAnsi="宋体" w:cs="宋体"/>
                <w:sz w:val="24"/>
                <w:szCs w:val="24"/>
              </w:rPr>
              <w:t>。</w:t>
            </w:r>
          </w:p>
          <w:p>
            <w:pPr>
              <w:spacing w:line="360" w:lineRule="auto"/>
              <w:jc w:val="left"/>
              <w:rPr>
                <w:rFonts w:ascii="宋体" w:hAnsi="宋体" w:cs="宋体"/>
                <w:sz w:val="24"/>
                <w:szCs w:val="24"/>
              </w:rPr>
            </w:pPr>
            <w:r>
              <w:rPr>
                <w:rFonts w:hint="eastAsia" w:ascii="宋体" w:hAnsi="宋体" w:cs="宋体"/>
                <w:sz w:val="24"/>
                <w:szCs w:val="24"/>
              </w:rPr>
              <w:t>投标人具备ISO9001证书，且提供证书得2</w:t>
            </w:r>
            <w:r>
              <w:rPr>
                <w:rFonts w:hint="eastAsia" w:ascii="宋体" w:hAnsi="宋体" w:cs="宋体"/>
                <w:color w:val="FF0000"/>
                <w:sz w:val="24"/>
                <w:szCs w:val="24"/>
              </w:rPr>
              <w:t>分</w:t>
            </w:r>
            <w:r>
              <w:rPr>
                <w:rFonts w:hint="eastAsia" w:ascii="宋体" w:hAnsi="宋体" w:cs="宋体"/>
                <w:sz w:val="24"/>
                <w:szCs w:val="24"/>
              </w:rPr>
              <w:t>。</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334" w:type="pct"/>
            <w:vMerge w:val="continue"/>
            <w:tcBorders>
              <w:top w:val="outset" w:color="auto" w:sz="6" w:space="0"/>
              <w:left w:val="outset" w:color="auto" w:sz="6" w:space="0"/>
              <w:bottom w:val="outset" w:color="auto" w:sz="6" w:space="0"/>
              <w:right w:val="outset" w:color="auto" w:sz="6" w:space="0"/>
            </w:tcBorders>
            <w:vAlign w:val="center"/>
          </w:tcPr>
          <w:p>
            <w:pPr>
              <w:spacing w:line="360" w:lineRule="auto"/>
              <w:jc w:val="left"/>
              <w:rPr>
                <w:rFonts w:ascii="宋体" w:hAnsi="宋体" w:cs="宋体"/>
                <w:sz w:val="24"/>
                <w:szCs w:val="24"/>
              </w:rPr>
            </w:pPr>
          </w:p>
        </w:tc>
        <w:tc>
          <w:tcPr>
            <w:tcW w:w="617" w:type="pct"/>
            <w:vMerge w:val="continue"/>
            <w:tcBorders>
              <w:top w:val="outset" w:color="auto" w:sz="6" w:space="0"/>
              <w:left w:val="outset" w:color="auto" w:sz="6" w:space="0"/>
              <w:bottom w:val="outset" w:color="auto" w:sz="6" w:space="0"/>
              <w:right w:val="outset" w:color="auto" w:sz="6" w:space="0"/>
            </w:tcBorders>
            <w:vAlign w:val="center"/>
          </w:tcPr>
          <w:p>
            <w:pPr>
              <w:spacing w:line="360" w:lineRule="auto"/>
              <w:jc w:val="center"/>
              <w:rPr>
                <w:rFonts w:ascii="宋体" w:hAnsi="宋体" w:cs="宋体"/>
                <w:sz w:val="24"/>
                <w:szCs w:val="24"/>
              </w:rPr>
            </w:pPr>
          </w:p>
        </w:tc>
        <w:tc>
          <w:tcPr>
            <w:tcW w:w="613" w:type="pct"/>
            <w:tcBorders>
              <w:top w:val="outset" w:color="auto" w:sz="6" w:space="0"/>
              <w:left w:val="outset" w:color="auto" w:sz="6" w:space="0"/>
              <w:bottom w:val="outset" w:color="auto" w:sz="6" w:space="0"/>
              <w:right w:val="outset" w:color="auto" w:sz="6" w:space="0"/>
            </w:tcBorders>
            <w:vAlign w:val="center"/>
          </w:tcPr>
          <w:p>
            <w:pPr>
              <w:spacing w:line="360" w:lineRule="auto"/>
              <w:jc w:val="left"/>
              <w:rPr>
                <w:rFonts w:ascii="宋体" w:hAnsi="宋体" w:cs="宋体"/>
                <w:sz w:val="24"/>
                <w:szCs w:val="24"/>
              </w:rPr>
            </w:pPr>
            <w:r>
              <w:rPr>
                <w:rFonts w:hint="eastAsia" w:ascii="宋体" w:hAnsi="宋体" w:cs="宋体"/>
                <w:sz w:val="24"/>
                <w:szCs w:val="24"/>
              </w:rPr>
              <w:t>现场演示评价</w:t>
            </w:r>
          </w:p>
        </w:tc>
        <w:tc>
          <w:tcPr>
            <w:tcW w:w="466" w:type="pct"/>
            <w:tcBorders>
              <w:top w:val="outset" w:color="auto" w:sz="6" w:space="0"/>
              <w:left w:val="outset" w:color="auto" w:sz="6" w:space="0"/>
              <w:bottom w:val="outset" w:color="auto" w:sz="6" w:space="0"/>
              <w:right w:val="outset" w:color="auto" w:sz="6" w:space="0"/>
            </w:tcBorders>
            <w:vAlign w:val="center"/>
          </w:tcPr>
          <w:p>
            <w:pPr>
              <w:spacing w:line="360" w:lineRule="auto"/>
              <w:jc w:val="center"/>
              <w:rPr>
                <w:rFonts w:ascii="宋体" w:hAnsi="宋体" w:cs="宋体"/>
                <w:sz w:val="24"/>
                <w:szCs w:val="24"/>
                <w:highlight w:val="none"/>
              </w:rPr>
            </w:pPr>
            <w:r>
              <w:rPr>
                <w:rFonts w:hint="eastAsia" w:ascii="宋体" w:hAnsi="宋体" w:cs="宋体"/>
                <w:sz w:val="24"/>
                <w:szCs w:val="24"/>
                <w:highlight w:val="none"/>
              </w:rPr>
              <w:t>9</w:t>
            </w:r>
          </w:p>
        </w:tc>
        <w:tc>
          <w:tcPr>
            <w:tcW w:w="2968" w:type="pct"/>
            <w:tcBorders>
              <w:top w:val="outset" w:color="auto" w:sz="6" w:space="0"/>
              <w:left w:val="outset" w:color="auto" w:sz="6" w:space="0"/>
              <w:bottom w:val="outset" w:color="auto" w:sz="6" w:space="0"/>
              <w:right w:val="outset" w:color="auto" w:sz="6" w:space="0"/>
            </w:tcBorders>
            <w:vAlign w:val="center"/>
          </w:tcPr>
          <w:p>
            <w:pPr>
              <w:spacing w:line="360" w:lineRule="auto"/>
              <w:jc w:val="left"/>
              <w:rPr>
                <w:rFonts w:ascii="宋体" w:hAnsi="宋体" w:cs="宋体"/>
                <w:sz w:val="24"/>
                <w:szCs w:val="24"/>
                <w:highlight w:val="none"/>
              </w:rPr>
            </w:pPr>
            <w:r>
              <w:rPr>
                <w:rFonts w:hint="eastAsia" w:ascii="宋体" w:hAnsi="宋体" w:cs="宋体"/>
                <w:sz w:val="24"/>
                <w:szCs w:val="24"/>
                <w:highlight w:val="none"/>
              </w:rPr>
              <w:t>演示基于真实的成功案例，只使用ppt或无演示则此部分不得分。</w:t>
            </w:r>
          </w:p>
          <w:p>
            <w:pPr>
              <w:spacing w:line="360" w:lineRule="auto"/>
              <w:jc w:val="left"/>
              <w:rPr>
                <w:rFonts w:ascii="宋体" w:hAnsi="宋体" w:cs="宋体"/>
                <w:sz w:val="24"/>
                <w:szCs w:val="24"/>
                <w:highlight w:val="none"/>
              </w:rPr>
            </w:pPr>
            <w:r>
              <w:rPr>
                <w:rFonts w:hint="eastAsia" w:ascii="宋体" w:hAnsi="宋体" w:cs="宋体"/>
                <w:sz w:val="24"/>
                <w:szCs w:val="24"/>
                <w:highlight w:val="none"/>
              </w:rPr>
              <w:t>采购内容所涉应用场景演示线上售票类服务。每演示一个得3分，满分9分，不满足则不得分。</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334" w:type="pct"/>
            <w:vMerge w:val="continue"/>
            <w:tcBorders>
              <w:top w:val="outset" w:color="auto" w:sz="6" w:space="0"/>
              <w:left w:val="outset" w:color="auto" w:sz="6" w:space="0"/>
              <w:bottom w:val="outset" w:color="auto" w:sz="6" w:space="0"/>
              <w:right w:val="outset" w:color="auto" w:sz="6" w:space="0"/>
            </w:tcBorders>
            <w:vAlign w:val="center"/>
          </w:tcPr>
          <w:p>
            <w:pPr>
              <w:spacing w:line="360" w:lineRule="auto"/>
              <w:jc w:val="left"/>
              <w:rPr>
                <w:rFonts w:ascii="宋体" w:hAnsi="宋体" w:cs="宋体"/>
                <w:sz w:val="24"/>
                <w:szCs w:val="24"/>
              </w:rPr>
            </w:pPr>
          </w:p>
        </w:tc>
        <w:tc>
          <w:tcPr>
            <w:tcW w:w="617" w:type="pct"/>
            <w:vMerge w:val="continue"/>
            <w:tcBorders>
              <w:top w:val="outset" w:color="auto" w:sz="6" w:space="0"/>
              <w:left w:val="outset" w:color="auto" w:sz="6" w:space="0"/>
              <w:bottom w:val="outset" w:color="auto" w:sz="6" w:space="0"/>
              <w:right w:val="outset" w:color="auto" w:sz="6" w:space="0"/>
            </w:tcBorders>
            <w:vAlign w:val="center"/>
          </w:tcPr>
          <w:p>
            <w:pPr>
              <w:spacing w:line="360" w:lineRule="auto"/>
              <w:jc w:val="left"/>
              <w:rPr>
                <w:rFonts w:ascii="宋体" w:hAnsi="宋体" w:cs="宋体"/>
                <w:sz w:val="24"/>
                <w:szCs w:val="24"/>
              </w:rPr>
            </w:pPr>
          </w:p>
        </w:tc>
        <w:tc>
          <w:tcPr>
            <w:tcW w:w="613" w:type="pct"/>
            <w:tcBorders>
              <w:top w:val="outset" w:color="auto" w:sz="6" w:space="0"/>
              <w:left w:val="outset" w:color="auto" w:sz="6" w:space="0"/>
              <w:bottom w:val="outset" w:color="auto" w:sz="6" w:space="0"/>
              <w:right w:val="outset" w:color="auto" w:sz="6" w:space="0"/>
            </w:tcBorders>
            <w:vAlign w:val="center"/>
          </w:tcPr>
          <w:p>
            <w:pPr>
              <w:spacing w:line="360" w:lineRule="auto"/>
              <w:jc w:val="left"/>
              <w:rPr>
                <w:rFonts w:ascii="宋体" w:hAnsi="宋体" w:cs="宋体"/>
                <w:sz w:val="24"/>
                <w:szCs w:val="24"/>
              </w:rPr>
            </w:pPr>
            <w:r>
              <w:rPr>
                <w:rFonts w:hint="eastAsia" w:ascii="宋体" w:hAnsi="宋体" w:cs="宋体"/>
                <w:sz w:val="24"/>
                <w:szCs w:val="24"/>
              </w:rPr>
              <w:t>成功案例评价</w:t>
            </w:r>
          </w:p>
        </w:tc>
        <w:tc>
          <w:tcPr>
            <w:tcW w:w="466" w:type="pct"/>
            <w:tcBorders>
              <w:top w:val="outset" w:color="auto" w:sz="6" w:space="0"/>
              <w:left w:val="outset" w:color="auto" w:sz="6" w:space="0"/>
              <w:bottom w:val="outset" w:color="auto" w:sz="6" w:space="0"/>
              <w:right w:val="outset" w:color="auto" w:sz="6" w:space="0"/>
            </w:tcBorders>
            <w:vAlign w:val="center"/>
          </w:tcPr>
          <w:p>
            <w:pPr>
              <w:spacing w:line="360" w:lineRule="auto"/>
              <w:jc w:val="center"/>
              <w:rPr>
                <w:rFonts w:ascii="宋体" w:hAnsi="宋体" w:cs="宋体"/>
                <w:sz w:val="24"/>
                <w:szCs w:val="24"/>
              </w:rPr>
            </w:pPr>
            <w:r>
              <w:rPr>
                <w:rFonts w:hint="eastAsia" w:ascii="宋体" w:hAnsi="宋体" w:cs="宋体"/>
                <w:color w:val="FF0000"/>
                <w:sz w:val="24"/>
                <w:szCs w:val="24"/>
              </w:rPr>
              <w:t>10</w:t>
            </w:r>
          </w:p>
        </w:tc>
        <w:tc>
          <w:tcPr>
            <w:tcW w:w="2968" w:type="pct"/>
            <w:tcBorders>
              <w:top w:val="outset" w:color="auto" w:sz="6" w:space="0"/>
              <w:left w:val="outset" w:color="auto" w:sz="6" w:space="0"/>
              <w:bottom w:val="outset" w:color="auto" w:sz="6" w:space="0"/>
              <w:right w:val="outset" w:color="auto" w:sz="6" w:space="0"/>
            </w:tcBorders>
            <w:vAlign w:val="center"/>
          </w:tcPr>
          <w:p>
            <w:pPr>
              <w:spacing w:line="360" w:lineRule="auto"/>
              <w:jc w:val="left"/>
              <w:rPr>
                <w:rFonts w:ascii="宋体" w:hAnsi="宋体" w:cs="宋体"/>
                <w:sz w:val="24"/>
                <w:szCs w:val="24"/>
              </w:rPr>
            </w:pPr>
            <w:r>
              <w:rPr>
                <w:rFonts w:hint="eastAsia" w:ascii="宋体" w:hAnsi="宋体" w:cs="宋体"/>
                <w:sz w:val="24"/>
                <w:szCs w:val="24"/>
              </w:rPr>
              <w:t>成功案例评价：</w:t>
            </w:r>
            <w:r>
              <w:rPr>
                <w:rFonts w:hint="eastAsia" w:ascii="宋体" w:hAnsi="宋体" w:cs="宋体"/>
                <w:color w:val="FF0000"/>
                <w:sz w:val="24"/>
                <w:szCs w:val="24"/>
              </w:rPr>
              <w:t>2018年1月1日至今</w:t>
            </w:r>
            <w:r>
              <w:rPr>
                <w:rFonts w:hint="eastAsia" w:ascii="宋体" w:hAnsi="宋体" w:cs="宋体"/>
                <w:sz w:val="24"/>
                <w:szCs w:val="24"/>
              </w:rPr>
              <w:t>（以合同签订时间为准）实施过地市级别（地市级及以上，规模为百万级用户量</w:t>
            </w:r>
            <w:r>
              <w:rPr>
                <w:rFonts w:hint="eastAsia"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lang w:eastAsia="zh-Hans"/>
                <w14:textFill>
                  <w14:solidFill>
                    <w14:schemeClr w14:val="tx1"/>
                  </w14:solidFill>
                </w14:textFill>
              </w:rPr>
              <w:t>智慧文旅</w:t>
            </w:r>
            <w:r>
              <w:rPr>
                <w:rFonts w:hint="eastAsia" w:ascii="宋体" w:hAnsi="宋体" w:cs="宋体"/>
                <w:color w:val="000000" w:themeColor="text1"/>
                <w:sz w:val="24"/>
                <w:szCs w:val="24"/>
                <w14:textFill>
                  <w14:solidFill>
                    <w14:schemeClr w14:val="tx1"/>
                  </w14:solidFill>
                </w14:textFill>
              </w:rPr>
              <w:t>系统（</w:t>
            </w:r>
            <w:r>
              <w:rPr>
                <w:rFonts w:hint="eastAsia" w:ascii="宋体" w:hAnsi="宋体" w:cs="宋体"/>
                <w:color w:val="000000" w:themeColor="text1"/>
                <w:sz w:val="24"/>
                <w:szCs w:val="24"/>
                <w:lang w:eastAsia="zh-Hans"/>
                <w14:textFill>
                  <w14:solidFill>
                    <w14:schemeClr w14:val="tx1"/>
                  </w14:solidFill>
                </w14:textFill>
              </w:rPr>
              <w:t>含售票系统）</w:t>
            </w:r>
            <w:r>
              <w:rPr>
                <w:rFonts w:hint="eastAsia" w:ascii="宋体" w:hAnsi="宋体" w:cs="宋体"/>
                <w:color w:val="000000" w:themeColor="text1"/>
                <w:sz w:val="24"/>
                <w:szCs w:val="24"/>
                <w14:textFill>
                  <w14:solidFill>
                    <w14:schemeClr w14:val="tx1"/>
                  </w14:solidFill>
                </w14:textFill>
              </w:rPr>
              <w:t>等类似项目，须提供签订的合同及项目甲方开具的加盖公章的</w:t>
            </w:r>
            <w:r>
              <w:rPr>
                <w:rFonts w:hint="eastAsia" w:ascii="宋体" w:hAnsi="宋体" w:cs="宋体"/>
                <w:sz w:val="24"/>
                <w:szCs w:val="24"/>
              </w:rPr>
              <w:t>平台有效证明（需包括平台名称、时间地点、功能概要说明、用户规模、真实有效声明），无有效证明不得分。</w:t>
            </w:r>
          </w:p>
          <w:p>
            <w:pPr>
              <w:spacing w:line="360" w:lineRule="auto"/>
              <w:jc w:val="left"/>
              <w:rPr>
                <w:rFonts w:ascii="宋体" w:hAnsi="宋体" w:cs="宋体"/>
                <w:sz w:val="24"/>
                <w:szCs w:val="24"/>
              </w:rPr>
            </w:pPr>
            <w:r>
              <w:rPr>
                <w:rFonts w:hint="eastAsia" w:ascii="宋体" w:hAnsi="宋体" w:cs="宋体"/>
                <w:sz w:val="24"/>
                <w:szCs w:val="24"/>
                <w:lang w:eastAsia="zh-Hans"/>
              </w:rPr>
              <w:t>每提供一成功案例</w:t>
            </w:r>
            <w:r>
              <w:rPr>
                <w:rFonts w:hint="eastAsia" w:ascii="宋体" w:hAnsi="宋体" w:cs="宋体"/>
                <w:color w:val="FF0000"/>
                <w:sz w:val="24"/>
                <w:szCs w:val="24"/>
              </w:rPr>
              <w:t>得2分</w:t>
            </w:r>
            <w:r>
              <w:rPr>
                <w:rFonts w:hint="eastAsia" w:ascii="宋体" w:hAnsi="宋体" w:cs="宋体"/>
                <w:color w:val="FF0000"/>
                <w:sz w:val="24"/>
                <w:szCs w:val="24"/>
                <w:lang w:eastAsia="zh-Hans"/>
              </w:rPr>
              <w:t>，最高不超过</w:t>
            </w:r>
            <w:r>
              <w:rPr>
                <w:rFonts w:hint="eastAsia" w:ascii="宋体" w:hAnsi="宋体" w:cs="宋体"/>
                <w:color w:val="FF0000"/>
                <w:sz w:val="24"/>
                <w:szCs w:val="24"/>
              </w:rPr>
              <w:t>10</w:t>
            </w:r>
            <w:r>
              <w:rPr>
                <w:rFonts w:hint="eastAsia" w:ascii="宋体" w:hAnsi="宋体" w:cs="宋体"/>
                <w:color w:val="FF0000"/>
                <w:sz w:val="24"/>
                <w:szCs w:val="24"/>
                <w:lang w:eastAsia="zh-Hans"/>
              </w:rPr>
              <w:t>分</w:t>
            </w:r>
            <w:r>
              <w:rPr>
                <w:rFonts w:hint="eastAsia" w:ascii="宋体" w:hAnsi="宋体" w:cs="宋体"/>
                <w:sz w:val="24"/>
                <w:szCs w:val="24"/>
                <w:lang w:eastAsia="zh-Hans"/>
              </w:rPr>
              <w:t>。</w:t>
            </w:r>
          </w:p>
          <w:p>
            <w:pPr>
              <w:spacing w:line="360" w:lineRule="auto"/>
              <w:jc w:val="left"/>
              <w:rPr>
                <w:rFonts w:ascii="宋体" w:hAnsi="宋体" w:cs="宋体"/>
                <w:sz w:val="24"/>
                <w:szCs w:val="24"/>
              </w:rPr>
            </w:pPr>
            <w:r>
              <w:rPr>
                <w:rFonts w:hint="eastAsia" w:ascii="宋体" w:hAnsi="宋体" w:cs="宋体"/>
                <w:sz w:val="24"/>
                <w:szCs w:val="24"/>
              </w:rPr>
              <w:t>注：需提供复印件加盖公章，否则不予计分。</w:t>
            </w:r>
          </w:p>
        </w:tc>
      </w:tr>
    </w:tbl>
    <w:p>
      <w:pPr>
        <w:spacing w:line="360" w:lineRule="auto"/>
        <w:ind w:firstLine="480" w:firstLineChars="200"/>
        <w:rPr>
          <w:rFonts w:ascii="宋体" w:hAnsi="宋体" w:cs="宋体"/>
          <w:bCs/>
          <w:color w:val="000000"/>
          <w:sz w:val="24"/>
          <w:szCs w:val="24"/>
        </w:rPr>
      </w:pPr>
    </w:p>
    <w:bookmarkEnd w:id="147"/>
    <w:bookmarkEnd w:id="148"/>
    <w:bookmarkEnd w:id="149"/>
    <w:bookmarkEnd w:id="150"/>
    <w:p>
      <w:pPr>
        <w:pStyle w:val="5"/>
        <w:spacing w:before="0" w:after="0" w:line="360" w:lineRule="auto"/>
        <w:rPr>
          <w:rFonts w:ascii="宋体" w:hAnsi="宋体" w:eastAsia="宋体" w:cs="宋体"/>
          <w:b/>
          <w:sz w:val="24"/>
          <w:szCs w:val="24"/>
        </w:rPr>
      </w:pPr>
      <w:bookmarkStart w:id="225" w:name="_Toc29108"/>
      <w:bookmarkStart w:id="226" w:name="_Toc32625"/>
      <w:bookmarkStart w:id="227" w:name="_Toc13959"/>
      <w:bookmarkStart w:id="228" w:name="_Toc26722"/>
      <w:bookmarkStart w:id="229" w:name="_Toc562"/>
      <w:bookmarkStart w:id="230" w:name="_Toc40699934"/>
      <w:r>
        <w:rPr>
          <w:rFonts w:hint="eastAsia" w:ascii="宋体" w:hAnsi="宋体" w:eastAsia="宋体" w:cs="宋体"/>
          <w:b/>
          <w:sz w:val="24"/>
          <w:szCs w:val="24"/>
          <w:lang w:val="en-US"/>
        </w:rPr>
        <w:t>3</w:t>
      </w:r>
      <w:r>
        <w:rPr>
          <w:rFonts w:hint="eastAsia" w:ascii="宋体" w:hAnsi="宋体" w:eastAsia="宋体" w:cs="宋体"/>
          <w:b/>
          <w:sz w:val="24"/>
          <w:szCs w:val="24"/>
        </w:rPr>
        <w:t>、评标程序</w:t>
      </w:r>
      <w:bookmarkEnd w:id="225"/>
      <w:bookmarkEnd w:id="226"/>
      <w:bookmarkEnd w:id="227"/>
      <w:bookmarkEnd w:id="228"/>
      <w:bookmarkEnd w:id="229"/>
      <w:bookmarkEnd w:id="230"/>
    </w:p>
    <w:p>
      <w:pPr>
        <w:spacing w:line="360" w:lineRule="auto"/>
        <w:jc w:val="left"/>
        <w:rPr>
          <w:rFonts w:ascii="宋体" w:hAnsi="宋体" w:cs="宋体"/>
          <w:sz w:val="24"/>
          <w:szCs w:val="24"/>
        </w:rPr>
      </w:pPr>
      <w:bookmarkStart w:id="231" w:name="_Toc31556"/>
      <w:bookmarkStart w:id="232" w:name="_Toc5857"/>
      <w:r>
        <w:rPr>
          <w:rFonts w:hint="eastAsia" w:ascii="宋体" w:hAnsi="宋体" w:cs="宋体"/>
          <w:sz w:val="24"/>
          <w:szCs w:val="24"/>
        </w:rPr>
        <w:t>3.1初步评审</w:t>
      </w:r>
      <w:bookmarkEnd w:id="231"/>
      <w:bookmarkEnd w:id="232"/>
    </w:p>
    <w:p>
      <w:pPr>
        <w:spacing w:line="360" w:lineRule="auto"/>
        <w:jc w:val="left"/>
        <w:rPr>
          <w:rFonts w:ascii="宋体" w:hAnsi="宋体" w:cs="宋体"/>
          <w:sz w:val="24"/>
          <w:szCs w:val="24"/>
        </w:rPr>
      </w:pPr>
      <w:r>
        <w:rPr>
          <w:rFonts w:hint="eastAsia" w:ascii="宋体" w:hAnsi="宋体" w:cs="宋体"/>
          <w:sz w:val="24"/>
          <w:szCs w:val="24"/>
        </w:rPr>
        <w:t>3.1.1评标委员会可以要求投标人提交第一章“投标人须知”规定的有关证明和证件的原件，以便核验。评标委员会依据本章第2款规定的标准对投标文件进行初步评审。有一项不符合评审标准的，评标委员会应当否决其投标。</w:t>
      </w:r>
    </w:p>
    <w:p>
      <w:pPr>
        <w:spacing w:line="360" w:lineRule="auto"/>
        <w:jc w:val="left"/>
        <w:rPr>
          <w:rFonts w:ascii="宋体" w:hAnsi="宋体" w:cs="宋体"/>
          <w:sz w:val="24"/>
          <w:szCs w:val="24"/>
        </w:rPr>
      </w:pPr>
      <w:r>
        <w:rPr>
          <w:rFonts w:hint="eastAsia" w:ascii="宋体" w:hAnsi="宋体" w:cs="宋体"/>
          <w:sz w:val="24"/>
          <w:szCs w:val="24"/>
        </w:rPr>
        <w:t>3.1.2投标人有以下情形之一的，评标委员会应当否决其投标：</w:t>
      </w:r>
    </w:p>
    <w:p>
      <w:pPr>
        <w:spacing w:line="360" w:lineRule="auto"/>
        <w:jc w:val="left"/>
        <w:rPr>
          <w:rFonts w:ascii="宋体" w:hAnsi="宋体" w:cs="宋体"/>
          <w:sz w:val="24"/>
          <w:szCs w:val="24"/>
        </w:rPr>
      </w:pPr>
      <w:r>
        <w:rPr>
          <w:rFonts w:hint="eastAsia" w:ascii="宋体" w:hAnsi="宋体" w:cs="宋体"/>
          <w:sz w:val="24"/>
          <w:szCs w:val="24"/>
        </w:rPr>
        <w:t>（1）投标文件没有对招标文件的实质性要求和条件作出响应，或者对招标文件的偏差超出招标文件规定的偏差范围或最高项数；</w:t>
      </w:r>
    </w:p>
    <w:p>
      <w:pPr>
        <w:spacing w:line="360" w:lineRule="auto"/>
        <w:jc w:val="left"/>
        <w:rPr>
          <w:rFonts w:ascii="宋体" w:hAnsi="宋体" w:cs="宋体"/>
          <w:sz w:val="24"/>
          <w:szCs w:val="24"/>
        </w:rPr>
      </w:pPr>
      <w:r>
        <w:rPr>
          <w:rFonts w:hint="eastAsia" w:ascii="宋体" w:hAnsi="宋体" w:cs="宋体"/>
          <w:sz w:val="24"/>
          <w:szCs w:val="24"/>
        </w:rPr>
        <w:t>（2）有串通投标、弄虚作假、行贿等违法行为。</w:t>
      </w:r>
    </w:p>
    <w:p>
      <w:pPr>
        <w:spacing w:line="360" w:lineRule="auto"/>
        <w:jc w:val="left"/>
        <w:rPr>
          <w:rFonts w:ascii="宋体" w:hAnsi="宋体" w:cs="宋体"/>
          <w:sz w:val="24"/>
          <w:szCs w:val="24"/>
        </w:rPr>
      </w:pPr>
      <w:r>
        <w:rPr>
          <w:rFonts w:hint="eastAsia" w:ascii="宋体" w:hAnsi="宋体" w:cs="宋体"/>
          <w:sz w:val="24"/>
          <w:szCs w:val="24"/>
        </w:rPr>
        <w:t>3.1.3投标报价有算术错误及其他错误的，评标委员会按以下原则要求投标人对投标报价进行修正，并要求投标人书面澄清确认。投标人拒不澄清确认的，评标委员会应当否决其投标：</w:t>
      </w:r>
    </w:p>
    <w:p>
      <w:pPr>
        <w:spacing w:line="360" w:lineRule="auto"/>
        <w:jc w:val="left"/>
        <w:rPr>
          <w:rFonts w:ascii="宋体" w:hAnsi="宋体" w:cs="宋体"/>
          <w:sz w:val="24"/>
          <w:szCs w:val="24"/>
        </w:rPr>
      </w:pPr>
      <w:r>
        <w:rPr>
          <w:rFonts w:hint="eastAsia" w:ascii="宋体" w:hAnsi="宋体" w:cs="宋体"/>
          <w:sz w:val="24"/>
          <w:szCs w:val="24"/>
        </w:rPr>
        <w:t>（1）投标文件中的大写金额与小写金额不一致的，以大写金额为准；</w:t>
      </w:r>
    </w:p>
    <w:p>
      <w:pPr>
        <w:spacing w:line="360" w:lineRule="auto"/>
        <w:jc w:val="left"/>
        <w:rPr>
          <w:rFonts w:ascii="宋体" w:hAnsi="宋体" w:cs="宋体"/>
          <w:sz w:val="24"/>
          <w:szCs w:val="24"/>
        </w:rPr>
      </w:pPr>
      <w:r>
        <w:rPr>
          <w:rFonts w:hint="eastAsia" w:ascii="宋体" w:hAnsi="宋体" w:cs="宋体"/>
          <w:sz w:val="24"/>
          <w:szCs w:val="24"/>
        </w:rPr>
        <w:t>（2）总价金额与单价金额不一致的，以单价金额为准，但单价金额小数点有明显错误的除外；</w:t>
      </w:r>
    </w:p>
    <w:p>
      <w:pPr>
        <w:spacing w:line="360" w:lineRule="auto"/>
        <w:jc w:val="left"/>
        <w:rPr>
          <w:rFonts w:ascii="宋体" w:hAnsi="宋体" w:cs="宋体"/>
          <w:sz w:val="24"/>
          <w:szCs w:val="24"/>
        </w:rPr>
      </w:pPr>
      <w:r>
        <w:rPr>
          <w:rFonts w:hint="eastAsia" w:ascii="宋体" w:hAnsi="宋体" w:cs="宋体"/>
          <w:sz w:val="24"/>
          <w:szCs w:val="24"/>
        </w:rPr>
        <w:t>（3）投标报价为各分项报价金额之和，投标报价与分项报价的合价不一致的，应以各分项合价累计数为准，修正投标报价；</w:t>
      </w:r>
    </w:p>
    <w:p>
      <w:pPr>
        <w:spacing w:line="360" w:lineRule="auto"/>
        <w:jc w:val="left"/>
        <w:rPr>
          <w:rFonts w:ascii="宋体" w:hAnsi="宋体" w:cs="宋体"/>
          <w:sz w:val="24"/>
          <w:szCs w:val="24"/>
        </w:rPr>
      </w:pPr>
      <w:r>
        <w:rPr>
          <w:rFonts w:hint="eastAsia" w:ascii="宋体" w:hAnsi="宋体" w:cs="宋体"/>
          <w:sz w:val="24"/>
          <w:szCs w:val="24"/>
        </w:rPr>
        <w:t>（4）如果分项报价中存在缺漏项，则视为缺漏项价格已包含在其他分项报价之中。</w:t>
      </w:r>
    </w:p>
    <w:p>
      <w:pPr>
        <w:spacing w:line="360" w:lineRule="auto"/>
        <w:jc w:val="left"/>
        <w:rPr>
          <w:rFonts w:ascii="宋体" w:hAnsi="宋体" w:cs="宋体"/>
          <w:sz w:val="24"/>
          <w:szCs w:val="24"/>
        </w:rPr>
      </w:pPr>
      <w:r>
        <w:rPr>
          <w:rFonts w:hint="eastAsia" w:ascii="宋体" w:hAnsi="宋体" w:cs="宋体"/>
          <w:sz w:val="24"/>
          <w:szCs w:val="24"/>
        </w:rPr>
        <w:t>3.2详细评审</w:t>
      </w:r>
    </w:p>
    <w:p>
      <w:pPr>
        <w:spacing w:line="360" w:lineRule="auto"/>
        <w:jc w:val="left"/>
        <w:rPr>
          <w:rFonts w:ascii="宋体" w:hAnsi="宋体" w:cs="宋体"/>
          <w:sz w:val="24"/>
          <w:szCs w:val="24"/>
        </w:rPr>
      </w:pPr>
      <w:r>
        <w:rPr>
          <w:rFonts w:hint="eastAsia" w:ascii="宋体" w:hAnsi="宋体" w:cs="宋体"/>
          <w:sz w:val="24"/>
          <w:szCs w:val="24"/>
        </w:rPr>
        <w:t>3.2.1评标委员会按本章第2.2款规定的量化因素和分值进行打分，并计算出综合评估得分。评分顺序如下：</w:t>
      </w:r>
    </w:p>
    <w:p>
      <w:pPr>
        <w:spacing w:line="360" w:lineRule="auto"/>
        <w:jc w:val="left"/>
        <w:rPr>
          <w:rFonts w:ascii="宋体" w:hAnsi="宋体" w:cs="宋体"/>
          <w:sz w:val="24"/>
          <w:szCs w:val="24"/>
        </w:rPr>
      </w:pPr>
      <w:r>
        <w:rPr>
          <w:rFonts w:hint="eastAsia" w:ascii="宋体" w:hAnsi="宋体" w:cs="宋体"/>
          <w:sz w:val="24"/>
          <w:szCs w:val="24"/>
        </w:rPr>
        <w:t>（1）按本章规定的评审因素和分值对商务部分计算出得分A；</w:t>
      </w:r>
    </w:p>
    <w:p>
      <w:pPr>
        <w:spacing w:line="360" w:lineRule="auto"/>
        <w:jc w:val="left"/>
        <w:rPr>
          <w:rFonts w:ascii="宋体" w:hAnsi="宋体" w:cs="宋体"/>
          <w:sz w:val="24"/>
          <w:szCs w:val="24"/>
        </w:rPr>
      </w:pPr>
      <w:r>
        <w:rPr>
          <w:rFonts w:hint="eastAsia" w:ascii="宋体" w:hAnsi="宋体" w:cs="宋体"/>
          <w:sz w:val="24"/>
          <w:szCs w:val="24"/>
        </w:rPr>
        <w:t>（2）按本章规定的评审因素和分值对技术部分计算出得分B（技术得分为所有评委评分的平均值）；</w:t>
      </w:r>
    </w:p>
    <w:p>
      <w:pPr>
        <w:spacing w:line="360" w:lineRule="auto"/>
        <w:jc w:val="left"/>
        <w:rPr>
          <w:rFonts w:ascii="宋体" w:hAnsi="宋体" w:cs="宋体"/>
          <w:sz w:val="24"/>
          <w:szCs w:val="24"/>
        </w:rPr>
      </w:pPr>
      <w:r>
        <w:rPr>
          <w:rFonts w:hint="eastAsia" w:ascii="宋体" w:hAnsi="宋体" w:cs="宋体"/>
          <w:sz w:val="24"/>
          <w:szCs w:val="24"/>
        </w:rPr>
        <w:t>（3）按本章规定的评审因素和分值对投标报价计算出得分C；</w:t>
      </w:r>
    </w:p>
    <w:p>
      <w:pPr>
        <w:spacing w:line="360" w:lineRule="auto"/>
        <w:jc w:val="left"/>
        <w:rPr>
          <w:rFonts w:ascii="宋体" w:hAnsi="宋体" w:cs="宋体"/>
          <w:sz w:val="24"/>
          <w:szCs w:val="24"/>
        </w:rPr>
      </w:pPr>
      <w:r>
        <w:rPr>
          <w:rFonts w:hint="eastAsia" w:ascii="宋体" w:hAnsi="宋体" w:cs="宋体"/>
          <w:sz w:val="24"/>
          <w:szCs w:val="24"/>
        </w:rPr>
        <w:t>3.2.2评分分值计算保留小数点后两位，小数点后第三位“四舍五入”。</w:t>
      </w:r>
    </w:p>
    <w:p>
      <w:pPr>
        <w:spacing w:line="360" w:lineRule="auto"/>
        <w:jc w:val="left"/>
        <w:rPr>
          <w:rFonts w:ascii="宋体" w:hAnsi="宋体" w:cs="宋体"/>
          <w:sz w:val="24"/>
          <w:szCs w:val="24"/>
        </w:rPr>
      </w:pPr>
      <w:r>
        <w:rPr>
          <w:rFonts w:hint="eastAsia" w:ascii="宋体" w:hAnsi="宋体" w:cs="宋体"/>
          <w:sz w:val="24"/>
          <w:szCs w:val="24"/>
        </w:rPr>
        <w:t>3.2.3投标人得分=A+B+C。</w:t>
      </w:r>
    </w:p>
    <w:p>
      <w:pPr>
        <w:spacing w:line="360" w:lineRule="auto"/>
        <w:jc w:val="left"/>
        <w:rPr>
          <w:rFonts w:ascii="宋体" w:hAnsi="宋体" w:cs="宋体"/>
          <w:sz w:val="24"/>
          <w:szCs w:val="24"/>
        </w:rPr>
      </w:pPr>
      <w:r>
        <w:rPr>
          <w:rFonts w:hint="eastAsia" w:ascii="宋体" w:hAnsi="宋体" w:cs="宋体"/>
          <w:sz w:val="24"/>
          <w:szCs w:val="24"/>
        </w:rPr>
        <w:t>3.2.4评标委员会发现投标人的报价明显低于其他投标报价，使得其投标报价可能低于其个别成本的，应当要求该投标人作出书面说明并提供相应的证明材料。投标人不能合理说明或者不能提供相应证明材料的，评标委员会应当认定该投标人以低于成本报价竞标，并否决其投标。</w:t>
      </w:r>
    </w:p>
    <w:p>
      <w:pPr>
        <w:spacing w:line="360" w:lineRule="auto"/>
        <w:jc w:val="left"/>
        <w:rPr>
          <w:rFonts w:ascii="宋体" w:hAnsi="宋体" w:cs="宋体"/>
          <w:sz w:val="24"/>
          <w:szCs w:val="24"/>
        </w:rPr>
      </w:pPr>
      <w:bookmarkStart w:id="233" w:name="_Toc26010"/>
      <w:bookmarkStart w:id="234" w:name="_Toc16426"/>
      <w:r>
        <w:rPr>
          <w:rFonts w:hint="eastAsia" w:ascii="宋体" w:hAnsi="宋体" w:cs="宋体"/>
          <w:sz w:val="24"/>
          <w:szCs w:val="24"/>
        </w:rPr>
        <w:t>3.3投标文件的澄清</w:t>
      </w:r>
      <w:bookmarkEnd w:id="233"/>
      <w:bookmarkEnd w:id="234"/>
    </w:p>
    <w:p>
      <w:pPr>
        <w:spacing w:line="360" w:lineRule="auto"/>
        <w:jc w:val="left"/>
        <w:rPr>
          <w:rFonts w:ascii="宋体" w:hAnsi="宋体" w:cs="宋体"/>
          <w:sz w:val="24"/>
          <w:szCs w:val="24"/>
        </w:rPr>
      </w:pPr>
      <w:r>
        <w:rPr>
          <w:rFonts w:hint="eastAsia" w:ascii="宋体" w:hAnsi="宋体" w:cs="宋体"/>
          <w:sz w:val="24"/>
          <w:szCs w:val="24"/>
        </w:rPr>
        <w:t>3.3.1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pPr>
        <w:spacing w:line="360" w:lineRule="auto"/>
        <w:jc w:val="left"/>
        <w:rPr>
          <w:rFonts w:ascii="宋体" w:hAnsi="宋体" w:cs="宋体"/>
          <w:sz w:val="24"/>
          <w:szCs w:val="24"/>
        </w:rPr>
      </w:pPr>
      <w:r>
        <w:rPr>
          <w:rFonts w:hint="eastAsia" w:ascii="宋体" w:hAnsi="宋体" w:cs="宋体"/>
          <w:sz w:val="24"/>
          <w:szCs w:val="24"/>
        </w:rPr>
        <w:t>3.3.2澄清、说明或补正不得超出投标文件的范围且不得改变投标文件的实质性内容，并构成投标文件的组成部分。</w:t>
      </w:r>
    </w:p>
    <w:p>
      <w:pPr>
        <w:spacing w:line="360" w:lineRule="auto"/>
        <w:jc w:val="left"/>
        <w:rPr>
          <w:rFonts w:ascii="宋体" w:hAnsi="宋体" w:cs="宋体"/>
          <w:sz w:val="24"/>
          <w:szCs w:val="24"/>
        </w:rPr>
      </w:pPr>
      <w:r>
        <w:rPr>
          <w:rFonts w:hint="eastAsia" w:ascii="宋体" w:hAnsi="宋体" w:cs="宋体"/>
          <w:sz w:val="24"/>
          <w:szCs w:val="24"/>
        </w:rPr>
        <w:t>3.3.3评标委员会对投标人提交的澄清、说明或补正有疑问的，可以要求投标人进一步澄清、说明或补正，直至满足评标委员会的要求。</w:t>
      </w:r>
    </w:p>
    <w:p>
      <w:pPr>
        <w:spacing w:line="360" w:lineRule="auto"/>
        <w:jc w:val="left"/>
        <w:rPr>
          <w:rFonts w:ascii="宋体" w:hAnsi="宋体" w:cs="宋体"/>
          <w:sz w:val="24"/>
          <w:szCs w:val="24"/>
        </w:rPr>
      </w:pPr>
      <w:bookmarkStart w:id="235" w:name="_Toc14333"/>
      <w:bookmarkStart w:id="236" w:name="_Toc13137"/>
      <w:r>
        <w:rPr>
          <w:rFonts w:hint="eastAsia" w:ascii="宋体" w:hAnsi="宋体" w:cs="宋体"/>
          <w:sz w:val="24"/>
          <w:szCs w:val="24"/>
        </w:rPr>
        <w:t>3.4评标结果</w:t>
      </w:r>
      <w:bookmarkEnd w:id="235"/>
      <w:bookmarkEnd w:id="236"/>
    </w:p>
    <w:p>
      <w:pPr>
        <w:spacing w:line="360" w:lineRule="auto"/>
        <w:jc w:val="left"/>
        <w:rPr>
          <w:rFonts w:ascii="宋体" w:hAnsi="宋体" w:cs="宋体"/>
          <w:kern w:val="0"/>
          <w:sz w:val="24"/>
          <w:szCs w:val="24"/>
        </w:rPr>
      </w:pPr>
      <w:r>
        <w:rPr>
          <w:rFonts w:hint="eastAsia" w:ascii="宋体" w:hAnsi="宋体" w:cs="宋体"/>
          <w:sz w:val="24"/>
          <w:szCs w:val="24"/>
        </w:rPr>
        <w:t>3.4.1除第一章“投标人须知”前附表授权直接确定中标人外，评标委员会按照得分由高到低的顺序推荐中标候选人，并标明排序。</w:t>
      </w:r>
    </w:p>
    <w:p>
      <w:pPr>
        <w:pStyle w:val="5"/>
        <w:spacing w:before="0" w:after="0" w:line="360" w:lineRule="auto"/>
        <w:rPr>
          <w:rFonts w:ascii="宋体" w:hAnsi="宋体" w:eastAsia="宋体" w:cs="宋体"/>
          <w:b/>
          <w:sz w:val="24"/>
          <w:szCs w:val="24"/>
        </w:rPr>
      </w:pPr>
      <w:bookmarkStart w:id="237" w:name="_Toc9736"/>
      <w:r>
        <w:rPr>
          <w:rFonts w:hint="eastAsia" w:ascii="宋体" w:hAnsi="宋体" w:eastAsia="宋体" w:cs="宋体"/>
          <w:b/>
          <w:sz w:val="24"/>
          <w:szCs w:val="24"/>
          <w:lang w:val="en-US"/>
        </w:rPr>
        <w:t>4</w:t>
      </w:r>
      <w:r>
        <w:rPr>
          <w:rFonts w:hint="eastAsia" w:ascii="宋体" w:hAnsi="宋体" w:eastAsia="宋体" w:cs="宋体"/>
          <w:b/>
          <w:sz w:val="24"/>
          <w:szCs w:val="24"/>
        </w:rPr>
        <w:t>、中标通知书</w:t>
      </w:r>
      <w:bookmarkEnd w:id="237"/>
    </w:p>
    <w:p>
      <w:pPr>
        <w:spacing w:line="360" w:lineRule="auto"/>
        <w:rPr>
          <w:rFonts w:ascii="宋体" w:hAnsi="宋体"/>
          <w:szCs w:val="21"/>
        </w:rPr>
      </w:pPr>
      <w:r>
        <w:rPr>
          <w:rFonts w:hint="eastAsia" w:ascii="宋体" w:hAnsi="宋体"/>
          <w:szCs w:val="21"/>
        </w:rPr>
        <w:t>4.1中标结果确定后，代理机构将向中标供应商发出中标通知书。</w:t>
      </w:r>
    </w:p>
    <w:p>
      <w:pPr>
        <w:spacing w:line="360" w:lineRule="auto"/>
        <w:rPr>
          <w:rFonts w:ascii="宋体" w:hAnsi="宋体"/>
          <w:szCs w:val="21"/>
        </w:rPr>
      </w:pPr>
      <w:r>
        <w:rPr>
          <w:rFonts w:hint="eastAsia" w:ascii="宋体" w:hAnsi="宋体"/>
          <w:szCs w:val="21"/>
        </w:rPr>
        <w:t>4.2 中标供应商收到中标通知书后，应签字确认中标通知书已收到。若无回复，则公告后视同中标供应商已经知悉并同意接受。</w:t>
      </w:r>
    </w:p>
    <w:p>
      <w:pPr>
        <w:spacing w:line="360" w:lineRule="auto"/>
        <w:rPr>
          <w:rFonts w:ascii="宋体" w:hAnsi="宋体"/>
          <w:szCs w:val="21"/>
        </w:rPr>
      </w:pPr>
      <w:r>
        <w:rPr>
          <w:rFonts w:hint="eastAsia" w:ascii="宋体" w:hAnsi="宋体"/>
          <w:szCs w:val="21"/>
        </w:rPr>
        <w:t>4.3中标通知书将是合同的一个组成部分。对采购人和中标供应商均具有法律效力。中标通知书发出后，采购人改变中标结果的，或者中标供应商放弃中标项目的，应当依法承担法律责任。</w:t>
      </w:r>
    </w:p>
    <w:p>
      <w:pPr>
        <w:spacing w:line="360" w:lineRule="auto"/>
        <w:rPr>
          <w:rFonts w:ascii="宋体" w:hAnsi="宋体"/>
          <w:szCs w:val="21"/>
        </w:rPr>
      </w:pPr>
      <w:r>
        <w:rPr>
          <w:rFonts w:hint="eastAsia" w:ascii="宋体" w:hAnsi="宋体"/>
          <w:szCs w:val="21"/>
        </w:rPr>
        <w:t>4.4所有投标文件都将作为档案保存，不论中标与否，代理机构均不退回。</w:t>
      </w:r>
    </w:p>
    <w:p>
      <w:pPr>
        <w:pStyle w:val="5"/>
        <w:spacing w:before="0" w:after="0" w:line="360" w:lineRule="auto"/>
        <w:rPr>
          <w:rFonts w:ascii="宋体" w:hAnsi="宋体" w:eastAsia="宋体" w:cs="宋体"/>
          <w:b/>
          <w:sz w:val="24"/>
          <w:szCs w:val="24"/>
        </w:rPr>
      </w:pPr>
      <w:bookmarkStart w:id="238" w:name="_Toc26213"/>
      <w:bookmarkStart w:id="239" w:name="_Toc16938553"/>
      <w:bookmarkStart w:id="240" w:name="_Toc20823309"/>
      <w:bookmarkStart w:id="241" w:name="_Toc513029237"/>
      <w:r>
        <w:rPr>
          <w:rFonts w:hint="eastAsia" w:ascii="宋体" w:hAnsi="宋体" w:eastAsia="宋体" w:cs="宋体"/>
          <w:b/>
          <w:sz w:val="24"/>
          <w:szCs w:val="24"/>
          <w:lang w:val="en-US"/>
        </w:rPr>
        <w:t>5、</w:t>
      </w:r>
      <w:r>
        <w:rPr>
          <w:rFonts w:hint="eastAsia" w:ascii="宋体" w:hAnsi="宋体" w:eastAsia="宋体" w:cs="宋体"/>
          <w:b/>
          <w:sz w:val="24"/>
          <w:szCs w:val="24"/>
        </w:rPr>
        <w:t>签订合同</w:t>
      </w:r>
      <w:bookmarkEnd w:id="238"/>
    </w:p>
    <w:p>
      <w:pPr>
        <w:spacing w:line="360" w:lineRule="auto"/>
        <w:rPr>
          <w:rFonts w:ascii="宋体" w:hAnsi="宋体"/>
          <w:szCs w:val="21"/>
        </w:rPr>
      </w:pPr>
      <w:r>
        <w:rPr>
          <w:rFonts w:hint="eastAsia" w:ascii="宋体" w:hAnsi="宋体"/>
          <w:bCs/>
          <w:szCs w:val="21"/>
        </w:rPr>
        <w:t>5</w:t>
      </w:r>
      <w:r>
        <w:rPr>
          <w:rFonts w:hint="eastAsia" w:ascii="宋体" w:hAnsi="宋体"/>
          <w:szCs w:val="21"/>
        </w:rPr>
        <w:t>.l中标供应商应按中标通知书规定的时间、地点,按照招标文件确定的事项与采购人签订采购合同，且不得迟于中标通知书发出之日起三十日，否则由此给采购人造成损失的，中标供应商应承担赔偿责任。</w:t>
      </w:r>
    </w:p>
    <w:p>
      <w:pPr>
        <w:spacing w:line="360" w:lineRule="auto"/>
        <w:rPr>
          <w:rFonts w:ascii="宋体" w:hAnsi="宋体"/>
          <w:szCs w:val="21"/>
        </w:rPr>
      </w:pPr>
      <w:r>
        <w:rPr>
          <w:rFonts w:hint="eastAsia" w:ascii="宋体" w:hAnsi="宋体"/>
          <w:bCs/>
          <w:szCs w:val="21"/>
        </w:rPr>
        <w:t>5</w:t>
      </w:r>
      <w:r>
        <w:rPr>
          <w:rFonts w:hint="eastAsia" w:ascii="宋体" w:hAnsi="宋体"/>
          <w:szCs w:val="21"/>
        </w:rPr>
        <w:t>.2招标文件、中标供应商的投标文件及招标过程中有关澄清、承诺文件均应作为合同附件。</w:t>
      </w:r>
    </w:p>
    <w:p>
      <w:pPr>
        <w:spacing w:line="360" w:lineRule="auto"/>
        <w:rPr>
          <w:rFonts w:ascii="宋体" w:hAnsi="宋体"/>
          <w:szCs w:val="21"/>
        </w:rPr>
      </w:pPr>
      <w:r>
        <w:rPr>
          <w:rFonts w:hint="eastAsia" w:ascii="宋体" w:hAnsi="宋体"/>
          <w:bCs/>
          <w:szCs w:val="21"/>
        </w:rPr>
        <w:t>5.</w:t>
      </w:r>
      <w:r>
        <w:rPr>
          <w:rFonts w:hint="eastAsia" w:ascii="宋体" w:hAnsi="宋体"/>
          <w:szCs w:val="21"/>
        </w:rPr>
        <w:t>3 签订合同后，</w:t>
      </w:r>
      <w:r>
        <w:rPr>
          <w:rFonts w:hint="eastAsia" w:ascii="宋体" w:hAnsi="宋体"/>
          <w:i/>
          <w:szCs w:val="21"/>
          <w:u w:val="single"/>
        </w:rPr>
        <w:t>中标供应商不得将服务进行转包</w:t>
      </w:r>
      <w:r>
        <w:rPr>
          <w:rFonts w:hint="eastAsia" w:ascii="宋体" w:hAnsi="宋体"/>
          <w:szCs w:val="21"/>
        </w:rPr>
        <w:t>。未经采购人同意，中标供应商也不得采用分包的形式履行合同，否则采购人有权终止合同，中标供应商的履约保证金将不予退还。转包或分包造成采购人损失或致使合同履行中发生违约现象的，中标供应商应承担赔偿责任。</w:t>
      </w:r>
    </w:p>
    <w:p>
      <w:pPr>
        <w:spacing w:line="360" w:lineRule="auto"/>
        <w:rPr>
          <w:rFonts w:ascii="宋体" w:hAnsi="宋体" w:cs="宋体"/>
          <w:sz w:val="24"/>
          <w:szCs w:val="24"/>
        </w:rPr>
      </w:pPr>
      <w:r>
        <w:rPr>
          <w:rFonts w:hint="eastAsia" w:ascii="宋体" w:hAnsi="宋体"/>
          <w:bCs/>
          <w:szCs w:val="21"/>
        </w:rPr>
        <w:t>5.</w:t>
      </w:r>
      <w:r>
        <w:rPr>
          <w:rFonts w:hint="eastAsia" w:ascii="宋体" w:hAnsi="宋体"/>
          <w:szCs w:val="21"/>
        </w:rPr>
        <w:t>4采购人不得向中标人提出任何不合理的要求作为签订合同的条件，不得与中标人私下订立背离合同实质性内容的协议。所签订的合同不得对招标文件确定事项和中标人投标文件作实质性修改。</w:t>
      </w:r>
      <w:bookmarkEnd w:id="239"/>
      <w:bookmarkEnd w:id="240"/>
      <w:bookmarkEnd w:id="241"/>
    </w:p>
    <w:p>
      <w:pPr>
        <w:pStyle w:val="52"/>
        <w:spacing w:before="0" w:after="0" w:line="360" w:lineRule="auto"/>
        <w:rPr>
          <w:rFonts w:ascii="宋体" w:hAnsi="宋体" w:eastAsia="宋体" w:cs="Times New Roman"/>
          <w:snapToGrid w:val="0"/>
          <w:kern w:val="0"/>
          <w:sz w:val="44"/>
          <w:szCs w:val="20"/>
          <w:lang w:val="zh-CN"/>
        </w:rPr>
      </w:pPr>
      <w:bookmarkStart w:id="242" w:name="_Toc18324"/>
      <w:r>
        <w:rPr>
          <w:rFonts w:hint="eastAsia" w:ascii="宋体" w:hAnsi="宋体" w:eastAsia="宋体" w:cs="Times New Roman"/>
          <w:snapToGrid w:val="0"/>
          <w:kern w:val="0"/>
          <w:sz w:val="44"/>
          <w:szCs w:val="20"/>
        </w:rPr>
        <w:t xml:space="preserve">第五章 </w:t>
      </w:r>
      <w:r>
        <w:rPr>
          <w:rFonts w:hint="eastAsia" w:ascii="宋体" w:hAnsi="宋体" w:eastAsia="宋体" w:cs="Times New Roman"/>
          <w:snapToGrid w:val="0"/>
          <w:kern w:val="0"/>
          <w:sz w:val="44"/>
          <w:szCs w:val="20"/>
          <w:lang w:val="zh-CN"/>
        </w:rPr>
        <w:t>合同条款及格式</w:t>
      </w:r>
      <w:bookmarkEnd w:id="242"/>
    </w:p>
    <w:p>
      <w:pPr>
        <w:spacing w:line="360" w:lineRule="auto"/>
        <w:ind w:firstLine="480" w:firstLineChars="200"/>
        <w:rPr>
          <w:rFonts w:ascii="宋体" w:hAnsi="宋体" w:cs="宋体"/>
          <w:sz w:val="24"/>
          <w:szCs w:val="24"/>
        </w:rPr>
      </w:pPr>
      <w:r>
        <w:rPr>
          <w:rFonts w:hint="eastAsia" w:ascii="宋体" w:hAnsi="宋体" w:cs="宋体"/>
          <w:sz w:val="24"/>
          <w:szCs w:val="24"/>
        </w:rPr>
        <w:t>（本合同条款在实际签订时可结合项目情况进行补充及调整，最终以双方共同商定的合同为准）</w:t>
      </w:r>
    </w:p>
    <w:p>
      <w:pPr>
        <w:pStyle w:val="52"/>
        <w:spacing w:before="0" w:after="0" w:line="360" w:lineRule="auto"/>
        <w:rPr>
          <w:rFonts w:ascii="宋体" w:hAnsi="宋体" w:eastAsia="宋体" w:cs="宋体"/>
          <w:sz w:val="24"/>
        </w:rPr>
      </w:pPr>
    </w:p>
    <w:p>
      <w:pPr>
        <w:pStyle w:val="52"/>
        <w:spacing w:before="0" w:after="0" w:line="360" w:lineRule="auto"/>
        <w:rPr>
          <w:rFonts w:ascii="宋体" w:hAnsi="宋体" w:eastAsia="宋体" w:cs="宋体"/>
          <w:color w:val="000000"/>
          <w:sz w:val="24"/>
        </w:rPr>
      </w:pPr>
      <w:bookmarkStart w:id="243" w:name="_Toc4041"/>
      <w:bookmarkStart w:id="244" w:name="_Toc21156"/>
      <w:r>
        <w:rPr>
          <w:rFonts w:hint="eastAsia" w:ascii="宋体" w:hAnsi="宋体" w:eastAsia="宋体" w:cs="宋体"/>
          <w:sz w:val="24"/>
        </w:rPr>
        <w:t>技术开发合同书</w:t>
      </w:r>
      <w:bookmarkEnd w:id="243"/>
      <w:bookmarkEnd w:id="244"/>
    </w:p>
    <w:p>
      <w:pPr>
        <w:spacing w:line="360" w:lineRule="auto"/>
        <w:jc w:val="center"/>
        <w:rPr>
          <w:rFonts w:ascii="宋体" w:hAnsi="宋体" w:cs="宋体"/>
          <w:b/>
          <w:color w:val="000000"/>
          <w:sz w:val="24"/>
          <w:szCs w:val="24"/>
        </w:rPr>
      </w:pPr>
    </w:p>
    <w:p>
      <w:pPr>
        <w:adjustRightInd w:val="0"/>
        <w:snapToGrid w:val="0"/>
        <w:spacing w:line="360" w:lineRule="auto"/>
        <w:rPr>
          <w:rFonts w:ascii="宋体" w:hAnsi="宋体" w:cs="宋体"/>
          <w:bCs/>
          <w:sz w:val="24"/>
          <w:szCs w:val="24"/>
        </w:rPr>
      </w:pPr>
      <w:r>
        <w:rPr>
          <w:rFonts w:hint="eastAsia" w:ascii="宋体" w:hAnsi="宋体" w:cs="宋体"/>
          <w:bCs/>
          <w:sz w:val="24"/>
          <w:szCs w:val="24"/>
        </w:rPr>
        <w:t>项目名称：</w:t>
      </w:r>
    </w:p>
    <w:p>
      <w:pPr>
        <w:snapToGrid w:val="0"/>
        <w:spacing w:line="360" w:lineRule="auto"/>
        <w:contextualSpacing/>
        <w:rPr>
          <w:rFonts w:ascii="宋体" w:hAnsi="宋体" w:cs="宋体"/>
          <w:bCs/>
          <w:sz w:val="24"/>
          <w:szCs w:val="24"/>
        </w:rPr>
      </w:pPr>
      <w:r>
        <w:rPr>
          <w:rFonts w:hint="eastAsia" w:ascii="宋体" w:hAnsi="宋体" w:cs="宋体"/>
          <w:bCs/>
          <w:sz w:val="24"/>
          <w:szCs w:val="24"/>
        </w:rPr>
        <w:t>甲方（委托方）：</w:t>
      </w:r>
      <w:r>
        <w:rPr>
          <w:rFonts w:hint="eastAsia" w:ascii="宋体" w:hAnsi="宋体" w:cs="宋体"/>
          <w:bCs/>
          <w:sz w:val="24"/>
          <w:szCs w:val="24"/>
          <w:lang w:val="zh-CN"/>
        </w:rPr>
        <w:t>扬州市民卡有限责任公司</w:t>
      </w:r>
    </w:p>
    <w:p>
      <w:pPr>
        <w:adjustRightInd w:val="0"/>
        <w:snapToGrid w:val="0"/>
        <w:spacing w:line="360" w:lineRule="auto"/>
        <w:outlineLvl w:val="0"/>
        <w:rPr>
          <w:rFonts w:ascii="宋体" w:hAnsi="宋体" w:cs="宋体"/>
          <w:bCs/>
          <w:sz w:val="24"/>
          <w:szCs w:val="24"/>
        </w:rPr>
      </w:pPr>
      <w:bookmarkStart w:id="245" w:name="_Toc9551"/>
      <w:bookmarkStart w:id="246" w:name="_Toc29301"/>
      <w:r>
        <w:rPr>
          <w:rFonts w:hint="eastAsia" w:ascii="宋体" w:hAnsi="宋体" w:cs="宋体"/>
          <w:bCs/>
          <w:sz w:val="24"/>
          <w:szCs w:val="24"/>
        </w:rPr>
        <w:t>乙方（受托方）：</w:t>
      </w:r>
      <w:bookmarkEnd w:id="245"/>
      <w:bookmarkEnd w:id="246"/>
      <w:r>
        <w:rPr>
          <w:rFonts w:hint="eastAsia" w:ascii="宋体" w:hAnsi="宋体" w:cs="宋体"/>
          <w:bCs/>
          <w:sz w:val="24"/>
          <w:szCs w:val="24"/>
        </w:rPr>
        <w:t xml:space="preserve"> </w:t>
      </w:r>
    </w:p>
    <w:p>
      <w:pPr>
        <w:tabs>
          <w:tab w:val="left" w:pos="1935"/>
        </w:tabs>
        <w:adjustRightInd w:val="0"/>
        <w:snapToGrid w:val="0"/>
        <w:spacing w:line="360" w:lineRule="auto"/>
        <w:rPr>
          <w:rFonts w:ascii="宋体" w:hAnsi="宋体" w:cs="宋体"/>
          <w:bCs/>
          <w:sz w:val="24"/>
          <w:szCs w:val="24"/>
        </w:rPr>
      </w:pPr>
      <w:r>
        <w:rPr>
          <w:rFonts w:hint="eastAsia" w:ascii="宋体" w:hAnsi="宋体" w:cs="宋体"/>
          <w:bCs/>
          <w:sz w:val="24"/>
          <w:szCs w:val="24"/>
        </w:rPr>
        <w:t xml:space="preserve">签约地点： </w:t>
      </w:r>
    </w:p>
    <w:p>
      <w:pPr>
        <w:tabs>
          <w:tab w:val="left" w:pos="1935"/>
        </w:tabs>
        <w:adjustRightInd w:val="0"/>
        <w:snapToGrid w:val="0"/>
        <w:spacing w:line="360" w:lineRule="auto"/>
        <w:rPr>
          <w:rFonts w:ascii="宋体" w:hAnsi="宋体" w:cs="宋体"/>
          <w:bCs/>
          <w:sz w:val="24"/>
          <w:szCs w:val="24"/>
        </w:rPr>
      </w:pPr>
      <w:r>
        <w:rPr>
          <w:rFonts w:hint="eastAsia" w:ascii="宋体" w:hAnsi="宋体" w:cs="宋体"/>
          <w:bCs/>
          <w:sz w:val="24"/>
          <w:szCs w:val="24"/>
        </w:rPr>
        <w:t>有效期限: 2021年  月  日—2021年  月  日</w:t>
      </w:r>
    </w:p>
    <w:p>
      <w:pPr>
        <w:tabs>
          <w:tab w:val="left" w:pos="1935"/>
        </w:tabs>
        <w:adjustRightInd w:val="0"/>
        <w:snapToGrid w:val="0"/>
        <w:spacing w:line="360" w:lineRule="auto"/>
        <w:rPr>
          <w:rFonts w:ascii="宋体" w:hAnsi="宋体" w:cs="宋体"/>
          <w:b/>
          <w:color w:val="000000"/>
          <w:sz w:val="24"/>
          <w:szCs w:val="24"/>
        </w:rPr>
      </w:pPr>
    </w:p>
    <w:p>
      <w:pPr>
        <w:adjustRightInd w:val="0"/>
        <w:snapToGrid w:val="0"/>
        <w:spacing w:line="360" w:lineRule="auto"/>
        <w:jc w:val="center"/>
        <w:rPr>
          <w:rFonts w:ascii="宋体" w:hAnsi="宋体" w:cs="宋体"/>
          <w:b/>
          <w:color w:val="000000"/>
          <w:sz w:val="24"/>
          <w:szCs w:val="24"/>
        </w:rPr>
      </w:pPr>
      <w:r>
        <w:rPr>
          <w:rFonts w:hint="eastAsia" w:ascii="宋体" w:hAnsi="宋体" w:cs="宋体"/>
          <w:b/>
          <w:color w:val="000000"/>
          <w:sz w:val="24"/>
          <w:szCs w:val="24"/>
        </w:rPr>
        <w:t>合同规定事项</w:t>
      </w:r>
    </w:p>
    <w:p>
      <w:pPr>
        <w:numPr>
          <w:ilvl w:val="0"/>
          <w:numId w:val="14"/>
        </w:numPr>
        <w:tabs>
          <w:tab w:val="left" w:pos="1035"/>
        </w:tabs>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根据《中华人民共和国民法典》规定，经当事人双方协商签订本合同。</w:t>
      </w:r>
    </w:p>
    <w:p>
      <w:pPr>
        <w:numPr>
          <w:ilvl w:val="0"/>
          <w:numId w:val="14"/>
        </w:numPr>
        <w:tabs>
          <w:tab w:val="left" w:pos="1035"/>
        </w:tabs>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本合同依法签订，经当事人双方加盖公章，法定代表人或代理人签字，即具有法律效力，任何一方不按合同规定履行，按民法典有关条款规定和当事人约定，承担经济责任。</w:t>
      </w:r>
    </w:p>
    <w:p>
      <w:pPr>
        <w:numPr>
          <w:ilvl w:val="0"/>
          <w:numId w:val="14"/>
        </w:numPr>
        <w:tabs>
          <w:tab w:val="left" w:pos="1035"/>
        </w:tabs>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合同如因故需要变更，经双方当事人协商一致后，可以订立补充或修改的书面协议，双方签字加盖公章，作为正式合同的补充条款，具有同等的法律效力。</w:t>
      </w:r>
    </w:p>
    <w:p>
      <w:pPr>
        <w:numPr>
          <w:ilvl w:val="0"/>
          <w:numId w:val="14"/>
        </w:numPr>
        <w:tabs>
          <w:tab w:val="left" w:pos="1035"/>
        </w:tabs>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项目完成后，以当事人双方按合同所规定的技术标准和方法验收。</w:t>
      </w:r>
    </w:p>
    <w:p>
      <w:pPr>
        <w:numPr>
          <w:ilvl w:val="0"/>
          <w:numId w:val="14"/>
        </w:numPr>
        <w:tabs>
          <w:tab w:val="left" w:pos="1035"/>
        </w:tabs>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技术合同的甲方：指技术合同的委托方和受让方；乙方指技术合同的研究开发方、转让方、顾问方。</w:t>
      </w:r>
    </w:p>
    <w:p>
      <w:pPr>
        <w:numPr>
          <w:ilvl w:val="0"/>
          <w:numId w:val="14"/>
        </w:numPr>
        <w:tabs>
          <w:tab w:val="left" w:pos="1035"/>
        </w:tabs>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技术合同种类分为：技术开发合同；技术转让合同；技术咨询合同和技术服务合同。</w:t>
      </w:r>
    </w:p>
    <w:p>
      <w:pPr>
        <w:numPr>
          <w:ilvl w:val="0"/>
          <w:numId w:val="14"/>
        </w:numPr>
        <w:tabs>
          <w:tab w:val="left" w:pos="1035"/>
        </w:tabs>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签订的技术合同主体双方均应按章缴纳印花税。（印花税票帖于封底页）</w:t>
      </w:r>
    </w:p>
    <w:p>
      <w:pPr>
        <w:numPr>
          <w:ilvl w:val="0"/>
          <w:numId w:val="14"/>
        </w:numPr>
        <w:tabs>
          <w:tab w:val="left" w:pos="1035"/>
        </w:tabs>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乙方须于本合同生效后[30]天内向将本合同在相应技术合同登记平台进行登记。</w:t>
      </w:r>
    </w:p>
    <w:p>
      <w:pPr>
        <w:tabs>
          <w:tab w:val="left" w:pos="1035"/>
        </w:tabs>
        <w:adjustRightInd w:val="0"/>
        <w:snapToGrid w:val="0"/>
        <w:spacing w:line="360" w:lineRule="auto"/>
        <w:rPr>
          <w:rFonts w:ascii="宋体" w:hAnsi="宋体" w:cs="宋体"/>
          <w:color w:val="000000"/>
          <w:sz w:val="24"/>
          <w:szCs w:val="24"/>
        </w:rPr>
      </w:pPr>
    </w:p>
    <w:p>
      <w:pPr>
        <w:numPr>
          <w:ilvl w:val="0"/>
          <w:numId w:val="15"/>
        </w:numPr>
        <w:adjustRightInd w:val="0"/>
        <w:snapToGrid w:val="0"/>
        <w:spacing w:line="360" w:lineRule="auto"/>
        <w:rPr>
          <w:rFonts w:ascii="宋体" w:hAnsi="宋体" w:cs="宋体"/>
          <w:color w:val="000000"/>
          <w:spacing w:val="5"/>
          <w:sz w:val="24"/>
          <w:szCs w:val="24"/>
        </w:rPr>
      </w:pPr>
      <w:r>
        <w:rPr>
          <w:rFonts w:hint="eastAsia" w:ascii="宋体" w:hAnsi="宋体" w:cs="宋体"/>
          <w:color w:val="000000"/>
          <w:spacing w:val="5"/>
          <w:sz w:val="24"/>
          <w:szCs w:val="24"/>
        </w:rPr>
        <w:t>乙双方在精诚合作、友好协商和互惠互利的基础上签订本合同。</w:t>
      </w:r>
    </w:p>
    <w:p>
      <w:pPr>
        <w:pStyle w:val="19"/>
        <w:rPr>
          <w:rFonts w:ascii="宋体" w:hAnsi="宋体" w:eastAsia="宋体" w:cs="宋体"/>
          <w:color w:val="000000"/>
          <w:spacing w:val="5"/>
          <w:sz w:val="24"/>
          <w:szCs w:val="24"/>
        </w:rPr>
      </w:pPr>
    </w:p>
    <w:p>
      <w:pPr>
        <w:rPr>
          <w:rFonts w:ascii="宋体" w:hAnsi="宋体" w:cs="宋体"/>
          <w:color w:val="000000"/>
          <w:spacing w:val="5"/>
          <w:sz w:val="24"/>
          <w:szCs w:val="24"/>
        </w:rPr>
      </w:pPr>
    </w:p>
    <w:p>
      <w:pPr>
        <w:pStyle w:val="19"/>
      </w:pPr>
    </w:p>
    <w:p>
      <w:pPr>
        <w:adjustRightInd w:val="0"/>
        <w:snapToGrid w:val="0"/>
        <w:spacing w:line="360" w:lineRule="auto"/>
        <w:rPr>
          <w:rFonts w:ascii="宋体" w:hAnsi="宋体" w:cs="宋体"/>
          <w:color w:val="000000"/>
          <w:spacing w:val="5"/>
          <w:sz w:val="24"/>
          <w:szCs w:val="24"/>
        </w:rPr>
      </w:pPr>
    </w:p>
    <w:p>
      <w:pPr>
        <w:numPr>
          <w:ilvl w:val="0"/>
          <w:numId w:val="16"/>
        </w:numPr>
        <w:tabs>
          <w:tab w:val="left" w:pos="525"/>
        </w:tabs>
        <w:adjustRightInd w:val="0"/>
        <w:snapToGrid w:val="0"/>
        <w:spacing w:line="360" w:lineRule="auto"/>
        <w:ind w:left="0" w:firstLine="0"/>
        <w:rPr>
          <w:rFonts w:ascii="宋体" w:hAnsi="宋体" w:cs="宋体"/>
          <w:b/>
          <w:color w:val="000000"/>
          <w:sz w:val="24"/>
          <w:szCs w:val="24"/>
        </w:rPr>
      </w:pPr>
      <w:r>
        <w:rPr>
          <w:rFonts w:hint="eastAsia" w:ascii="宋体" w:hAnsi="宋体" w:cs="宋体"/>
          <w:b/>
          <w:color w:val="000000"/>
          <w:sz w:val="24"/>
          <w:szCs w:val="24"/>
        </w:rPr>
        <w:t>项目名称：</w:t>
      </w:r>
    </w:p>
    <w:p>
      <w:pPr>
        <w:adjustRightInd w:val="0"/>
        <w:snapToGrid w:val="0"/>
        <w:spacing w:line="360" w:lineRule="auto"/>
        <w:ind w:firstLine="500" w:firstLineChars="200"/>
        <w:rPr>
          <w:rFonts w:ascii="宋体" w:hAnsi="宋体" w:cs="宋体"/>
          <w:b/>
          <w:color w:val="000000"/>
          <w:sz w:val="24"/>
          <w:szCs w:val="24"/>
        </w:rPr>
      </w:pPr>
      <w:r>
        <w:rPr>
          <w:rFonts w:hint="eastAsia" w:ascii="宋体" w:hAnsi="宋体" w:cs="宋体"/>
          <w:color w:val="000000"/>
          <w:spacing w:val="5"/>
          <w:sz w:val="24"/>
          <w:szCs w:val="24"/>
        </w:rPr>
        <w:t>甲方决定</w:t>
      </w:r>
      <w:r>
        <w:rPr>
          <w:rFonts w:hint="eastAsia" w:ascii="宋体" w:hAnsi="宋体" w:cs="宋体"/>
          <w:spacing w:val="5"/>
          <w:sz w:val="24"/>
          <w:szCs w:val="24"/>
        </w:rPr>
        <w:t>建设</w:t>
      </w:r>
      <w:r>
        <w:rPr>
          <w:rFonts w:hint="eastAsia" w:ascii="宋体" w:hAnsi="宋体" w:cs="宋体"/>
          <w:spacing w:val="5"/>
          <w:sz w:val="24"/>
          <w:szCs w:val="24"/>
          <w:u w:val="single"/>
        </w:rPr>
        <w:t>华侨城梦幻之城售票平台项目</w:t>
      </w:r>
      <w:r>
        <w:rPr>
          <w:rFonts w:hint="eastAsia" w:ascii="宋体" w:hAnsi="宋体" w:cs="宋体"/>
          <w:spacing w:val="5"/>
          <w:sz w:val="24"/>
          <w:szCs w:val="24"/>
        </w:rPr>
        <w:t>，本合同为甲方委托乙方定制开发本合同及其附件所列明的“</w:t>
      </w:r>
      <w:r>
        <w:rPr>
          <w:rFonts w:hint="eastAsia" w:ascii="宋体" w:hAnsi="宋体" w:cs="宋体"/>
          <w:spacing w:val="5"/>
          <w:sz w:val="24"/>
          <w:szCs w:val="24"/>
          <w:u w:val="single"/>
        </w:rPr>
        <w:t>华侨城梦幻之城售票平台项目</w:t>
      </w:r>
      <w:r>
        <w:rPr>
          <w:rFonts w:hint="eastAsia" w:ascii="宋体" w:hAnsi="宋体" w:cs="宋体"/>
          <w:spacing w:val="5"/>
          <w:sz w:val="24"/>
          <w:szCs w:val="24"/>
        </w:rPr>
        <w:t>”系统、</w:t>
      </w:r>
      <w:r>
        <w:rPr>
          <w:rFonts w:hint="eastAsia" w:ascii="宋体" w:hAnsi="宋体" w:cs="宋体"/>
          <w:color w:val="000000"/>
          <w:spacing w:val="5"/>
          <w:sz w:val="24"/>
          <w:szCs w:val="24"/>
        </w:rPr>
        <w:t>提供系统的维护服务，并支付相应的技术服务报酬。</w:t>
      </w:r>
    </w:p>
    <w:p>
      <w:pPr>
        <w:numPr>
          <w:ilvl w:val="0"/>
          <w:numId w:val="16"/>
        </w:numPr>
        <w:tabs>
          <w:tab w:val="left" w:pos="525"/>
        </w:tabs>
        <w:adjustRightInd w:val="0"/>
        <w:snapToGrid w:val="0"/>
        <w:spacing w:line="360" w:lineRule="auto"/>
        <w:ind w:left="0" w:firstLine="0"/>
        <w:rPr>
          <w:rFonts w:ascii="宋体" w:hAnsi="宋体" w:cs="宋体"/>
          <w:color w:val="000000"/>
          <w:sz w:val="24"/>
          <w:szCs w:val="24"/>
        </w:rPr>
      </w:pPr>
      <w:r>
        <w:rPr>
          <w:rFonts w:hint="eastAsia" w:ascii="宋体" w:hAnsi="宋体" w:cs="宋体"/>
          <w:b/>
          <w:color w:val="000000"/>
          <w:sz w:val="24"/>
          <w:szCs w:val="24"/>
        </w:rPr>
        <w:t>定义</w:t>
      </w:r>
    </w:p>
    <w:p>
      <w:pPr>
        <w:widowControl/>
        <w:numPr>
          <w:ilvl w:val="2"/>
          <w:numId w:val="17"/>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系统开发：是指乙方根据甲方的信息化需求与目标，向甲方提供的专业的需求调研、方案设计、编码测试、系统安装与调试、系统初始化、系统试运行、系统应用培训以及帮助甲方成功应用委托开发成果的过程。</w:t>
      </w:r>
    </w:p>
    <w:p>
      <w:pPr>
        <w:widowControl/>
        <w:numPr>
          <w:ilvl w:val="2"/>
          <w:numId w:val="17"/>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合同：是指本合同及根据本合同所签订的所有附件。</w:t>
      </w:r>
    </w:p>
    <w:p>
      <w:pPr>
        <w:widowControl/>
        <w:numPr>
          <w:ilvl w:val="2"/>
          <w:numId w:val="17"/>
        </w:numPr>
        <w:adjustRightInd w:val="0"/>
        <w:snapToGrid w:val="0"/>
        <w:spacing w:line="360" w:lineRule="auto"/>
        <w:ind w:left="0" w:firstLine="0"/>
        <w:rPr>
          <w:rFonts w:ascii="宋体" w:hAnsi="宋体" w:cs="宋体"/>
          <w:sz w:val="24"/>
          <w:szCs w:val="24"/>
        </w:rPr>
      </w:pPr>
      <w:r>
        <w:rPr>
          <w:rFonts w:hint="eastAsia" w:ascii="宋体" w:hAnsi="宋体" w:cs="宋体"/>
          <w:color w:val="000000"/>
          <w:sz w:val="24"/>
          <w:szCs w:val="24"/>
        </w:rPr>
        <w:t>本项</w:t>
      </w:r>
      <w:r>
        <w:rPr>
          <w:rFonts w:hint="eastAsia" w:ascii="宋体" w:hAnsi="宋体" w:cs="宋体"/>
          <w:sz w:val="24"/>
          <w:szCs w:val="24"/>
        </w:rPr>
        <w:t>目：指</w:t>
      </w:r>
      <w:r>
        <w:rPr>
          <w:rFonts w:hint="eastAsia" w:ascii="宋体" w:hAnsi="宋体" w:cs="宋体"/>
          <w:spacing w:val="5"/>
          <w:sz w:val="24"/>
          <w:szCs w:val="24"/>
          <w:u w:val="single"/>
        </w:rPr>
        <w:t>华侨城梦幻之城售票平台项目</w:t>
      </w:r>
      <w:r>
        <w:rPr>
          <w:rFonts w:hint="eastAsia" w:ascii="宋体" w:hAnsi="宋体" w:cs="宋体"/>
          <w:sz w:val="24"/>
          <w:szCs w:val="24"/>
        </w:rPr>
        <w:t>。</w:t>
      </w:r>
    </w:p>
    <w:p>
      <w:pPr>
        <w:widowControl/>
        <w:numPr>
          <w:ilvl w:val="2"/>
          <w:numId w:val="17"/>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交付成果：指乙方根据本合同的服务承诺的约定向甲方提交的开发成果。</w:t>
      </w:r>
    </w:p>
    <w:p>
      <w:pPr>
        <w:widowControl/>
        <w:numPr>
          <w:ilvl w:val="2"/>
          <w:numId w:val="17"/>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服务：是指用于咨询服务、系统开发、系统实施、试运行、培训、验收以及本合同下的其他服务承诺。</w:t>
      </w:r>
    </w:p>
    <w:p>
      <w:pPr>
        <w:widowControl/>
        <w:numPr>
          <w:ilvl w:val="2"/>
          <w:numId w:val="17"/>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日：指工作日</w:t>
      </w:r>
    </w:p>
    <w:p>
      <w:pPr>
        <w:widowControl/>
        <w:numPr>
          <w:ilvl w:val="2"/>
          <w:numId w:val="17"/>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人天：指乙方投入的工作量单位。本合同所指人天按一人一工作日八小时为计算单位，若乙方项目组应甲方要求在非工作日加班，工作量投入按国家相关规定计算。</w:t>
      </w:r>
    </w:p>
    <w:p>
      <w:pPr>
        <w:widowControl/>
        <w:numPr>
          <w:ilvl w:val="2"/>
          <w:numId w:val="17"/>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 xml:space="preserve"> 合作期限：指从本协议生效日期起至本合同约定的合作服务完成。</w:t>
      </w:r>
    </w:p>
    <w:p>
      <w:pPr>
        <w:numPr>
          <w:ilvl w:val="0"/>
          <w:numId w:val="16"/>
        </w:numPr>
        <w:tabs>
          <w:tab w:val="left" w:pos="525"/>
        </w:tabs>
        <w:adjustRightInd w:val="0"/>
        <w:snapToGrid w:val="0"/>
        <w:spacing w:line="360" w:lineRule="auto"/>
        <w:ind w:left="0" w:firstLine="0"/>
        <w:rPr>
          <w:rFonts w:ascii="宋体" w:hAnsi="宋体" w:cs="宋体"/>
          <w:b/>
          <w:color w:val="000000"/>
          <w:sz w:val="24"/>
          <w:szCs w:val="24"/>
        </w:rPr>
      </w:pPr>
      <w:r>
        <w:rPr>
          <w:rFonts w:hint="eastAsia" w:ascii="宋体" w:hAnsi="宋体" w:cs="宋体"/>
          <w:b/>
          <w:color w:val="000000"/>
          <w:sz w:val="24"/>
          <w:szCs w:val="24"/>
        </w:rPr>
        <w:t>合同标的的内容、范围、形式和要求：</w:t>
      </w:r>
    </w:p>
    <w:p>
      <w:pPr>
        <w:numPr>
          <w:ilvl w:val="0"/>
          <w:numId w:val="18"/>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项目标的</w:t>
      </w:r>
    </w:p>
    <w:p>
      <w:pPr>
        <w:numPr>
          <w:ilvl w:val="0"/>
          <w:numId w:val="19"/>
        </w:numPr>
        <w:adjustRightInd w:val="0"/>
        <w:snapToGrid w:val="0"/>
        <w:spacing w:line="360" w:lineRule="auto"/>
        <w:ind w:left="0" w:firstLine="0"/>
        <w:rPr>
          <w:rFonts w:ascii="宋体" w:hAnsi="宋体" w:cs="宋体"/>
          <w:sz w:val="24"/>
          <w:szCs w:val="24"/>
        </w:rPr>
      </w:pPr>
      <w:r>
        <w:rPr>
          <w:rFonts w:hint="eastAsia" w:ascii="宋体" w:hAnsi="宋体" w:cs="宋体"/>
          <w:color w:val="000000"/>
          <w:sz w:val="24"/>
          <w:szCs w:val="24"/>
        </w:rPr>
        <w:t>甲方</w:t>
      </w:r>
      <w:r>
        <w:rPr>
          <w:rFonts w:hint="eastAsia" w:ascii="宋体" w:hAnsi="宋体" w:cs="宋体"/>
          <w:sz w:val="24"/>
          <w:szCs w:val="24"/>
        </w:rPr>
        <w:t>委托乙方进行“</w:t>
      </w:r>
      <w:r>
        <w:rPr>
          <w:rFonts w:hint="eastAsia" w:ascii="宋体" w:hAnsi="宋体" w:cs="宋体"/>
          <w:spacing w:val="5"/>
          <w:sz w:val="24"/>
          <w:szCs w:val="24"/>
          <w:u w:val="single"/>
        </w:rPr>
        <w:t>华侨城梦幻之城售票平台</w:t>
      </w:r>
      <w:r>
        <w:rPr>
          <w:rFonts w:hint="eastAsia" w:ascii="宋体" w:hAnsi="宋体" w:cs="宋体"/>
          <w:sz w:val="24"/>
          <w:szCs w:val="24"/>
          <w:u w:val="single"/>
        </w:rPr>
        <w:t>项目</w:t>
      </w:r>
      <w:r>
        <w:rPr>
          <w:rFonts w:hint="eastAsia" w:ascii="宋体" w:hAnsi="宋体" w:cs="宋体"/>
          <w:sz w:val="24"/>
          <w:szCs w:val="24"/>
        </w:rPr>
        <w:t>”的开发，包含</w:t>
      </w:r>
      <w:r>
        <w:rPr>
          <w:rFonts w:hint="eastAsia" w:ascii="宋体" w:hAnsi="宋体" w:cs="宋体"/>
          <w:spacing w:val="5"/>
          <w:sz w:val="24"/>
          <w:szCs w:val="24"/>
          <w:u w:val="single"/>
        </w:rPr>
        <w:t>华侨城梦幻之城售票平台项目</w:t>
      </w:r>
      <w:r>
        <w:rPr>
          <w:rFonts w:hint="eastAsia" w:ascii="宋体" w:hAnsi="宋体" w:cs="宋体"/>
          <w:sz w:val="24"/>
          <w:szCs w:val="24"/>
        </w:rPr>
        <w:t>需求技术开发及维护支撑。具体的功能内容以最终确定的《</w:t>
      </w:r>
      <w:r>
        <w:rPr>
          <w:rFonts w:hint="eastAsia" w:ascii="宋体" w:hAnsi="宋体" w:cs="宋体"/>
          <w:spacing w:val="5"/>
          <w:sz w:val="24"/>
          <w:szCs w:val="24"/>
        </w:rPr>
        <w:t>华侨城梦幻之城售票平台项目</w:t>
      </w:r>
      <w:r>
        <w:rPr>
          <w:rFonts w:hint="eastAsia" w:ascii="宋体" w:hAnsi="宋体" w:cs="宋体"/>
          <w:sz w:val="24"/>
          <w:szCs w:val="24"/>
        </w:rPr>
        <w:t>技术开发说明书》为准，系统交付时也应参照该说明书交付。</w:t>
      </w:r>
    </w:p>
    <w:p>
      <w:pPr>
        <w:numPr>
          <w:ilvl w:val="0"/>
          <w:numId w:val="19"/>
        </w:numPr>
        <w:adjustRightInd w:val="0"/>
        <w:snapToGrid w:val="0"/>
        <w:spacing w:line="360" w:lineRule="auto"/>
        <w:ind w:left="0" w:firstLine="0"/>
        <w:rPr>
          <w:rFonts w:ascii="宋体" w:hAnsi="宋体" w:cs="宋体"/>
          <w:sz w:val="24"/>
          <w:szCs w:val="24"/>
        </w:rPr>
      </w:pPr>
      <w:r>
        <w:rPr>
          <w:rFonts w:hint="eastAsia" w:ascii="宋体" w:hAnsi="宋体" w:cs="宋体"/>
          <w:color w:val="000000"/>
          <w:sz w:val="24"/>
          <w:szCs w:val="24"/>
        </w:rPr>
        <w:t>乙方</w:t>
      </w:r>
      <w:r>
        <w:rPr>
          <w:rFonts w:hint="eastAsia" w:ascii="宋体" w:hAnsi="宋体" w:cs="宋体"/>
          <w:sz w:val="24"/>
          <w:szCs w:val="24"/>
        </w:rPr>
        <w:t>为甲方提供</w:t>
      </w:r>
      <w:r>
        <w:rPr>
          <w:rFonts w:hint="eastAsia" w:ascii="宋体" w:hAnsi="宋体" w:cs="宋体"/>
          <w:spacing w:val="5"/>
          <w:sz w:val="24"/>
          <w:szCs w:val="24"/>
          <w:u w:val="single"/>
        </w:rPr>
        <w:t>华侨城梦幻之城售票平台项目</w:t>
      </w:r>
      <w:r>
        <w:rPr>
          <w:rFonts w:hint="eastAsia" w:ascii="宋体" w:hAnsi="宋体" w:cs="宋体"/>
          <w:sz w:val="24"/>
          <w:szCs w:val="24"/>
        </w:rPr>
        <w:t>构建咨询服务及需求调研、客户化开发、系统实施、项目管理及操作培训服务。</w:t>
      </w:r>
    </w:p>
    <w:p>
      <w:pPr>
        <w:numPr>
          <w:ilvl w:val="0"/>
          <w:numId w:val="18"/>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甲方委托乙方提供技术服务的内容如下：</w:t>
      </w:r>
    </w:p>
    <w:p>
      <w:pPr>
        <w:numPr>
          <w:ilvl w:val="0"/>
          <w:numId w:val="20"/>
        </w:numPr>
        <w:adjustRightInd w:val="0"/>
        <w:snapToGrid w:val="0"/>
        <w:spacing w:line="360" w:lineRule="auto"/>
        <w:rPr>
          <w:rFonts w:ascii="宋体" w:hAnsi="宋体" w:cs="宋体"/>
          <w:sz w:val="24"/>
          <w:szCs w:val="24"/>
        </w:rPr>
      </w:pPr>
      <w:r>
        <w:rPr>
          <w:rFonts w:hint="eastAsia" w:ascii="宋体" w:hAnsi="宋体" w:cs="宋体"/>
          <w:color w:val="000000"/>
          <w:sz w:val="24"/>
          <w:szCs w:val="24"/>
        </w:rPr>
        <w:t>技术开发的目标</w:t>
      </w:r>
      <w:r>
        <w:rPr>
          <w:rFonts w:hint="eastAsia" w:ascii="宋体" w:hAnsi="宋体" w:cs="宋体"/>
          <w:sz w:val="24"/>
          <w:szCs w:val="24"/>
        </w:rPr>
        <w:t>：完成</w:t>
      </w:r>
      <w:r>
        <w:rPr>
          <w:rFonts w:hint="eastAsia" w:ascii="宋体" w:hAnsi="宋体" w:cs="宋体"/>
          <w:spacing w:val="5"/>
          <w:sz w:val="24"/>
          <w:szCs w:val="24"/>
          <w:u w:val="single"/>
        </w:rPr>
        <w:t>华侨城梦幻之城售票平台项目</w:t>
      </w:r>
      <w:r>
        <w:rPr>
          <w:rFonts w:hint="eastAsia" w:ascii="宋体" w:hAnsi="宋体" w:cs="宋体"/>
          <w:sz w:val="24"/>
          <w:szCs w:val="24"/>
        </w:rPr>
        <w:t>的研发及上线。</w:t>
      </w:r>
    </w:p>
    <w:p>
      <w:pPr>
        <w:numPr>
          <w:ilvl w:val="0"/>
          <w:numId w:val="20"/>
        </w:numPr>
        <w:adjustRightInd w:val="0"/>
        <w:snapToGrid w:val="0"/>
        <w:spacing w:line="360" w:lineRule="auto"/>
        <w:rPr>
          <w:rFonts w:ascii="宋体" w:hAnsi="宋体" w:cs="宋体"/>
          <w:color w:val="000000"/>
          <w:sz w:val="24"/>
          <w:szCs w:val="24"/>
        </w:rPr>
      </w:pPr>
      <w:r>
        <w:rPr>
          <w:rFonts w:hint="eastAsia" w:ascii="宋体" w:hAnsi="宋体" w:cs="宋体"/>
          <w:sz w:val="24"/>
          <w:szCs w:val="24"/>
        </w:rPr>
        <w:t>技术开发的内容：华侨城梦幻之城售票平台项目应用技术</w:t>
      </w:r>
      <w:r>
        <w:rPr>
          <w:rFonts w:hint="eastAsia" w:ascii="宋体" w:hAnsi="宋体" w:cs="宋体"/>
          <w:color w:val="000000"/>
          <w:sz w:val="24"/>
          <w:szCs w:val="24"/>
        </w:rPr>
        <w:t>服务主要内容分为三块：</w:t>
      </w:r>
    </w:p>
    <w:p>
      <w:pPr>
        <w:numPr>
          <w:ilvl w:val="0"/>
          <w:numId w:val="21"/>
        </w:numPr>
        <w:adjustRightInd w:val="0"/>
        <w:snapToGrid w:val="0"/>
        <w:spacing w:line="360" w:lineRule="auto"/>
        <w:ind w:left="0" w:firstLine="480" w:firstLineChars="200"/>
        <w:rPr>
          <w:rFonts w:ascii="宋体" w:hAnsi="宋体" w:cs="宋体"/>
          <w:sz w:val="24"/>
          <w:szCs w:val="24"/>
        </w:rPr>
      </w:pPr>
      <w:r>
        <w:rPr>
          <w:rFonts w:hint="eastAsia" w:ascii="宋体" w:hAnsi="宋体" w:cs="宋体"/>
          <w:color w:val="000000"/>
          <w:sz w:val="24"/>
          <w:szCs w:val="24"/>
        </w:rPr>
        <w:t>提供系</w:t>
      </w:r>
      <w:r>
        <w:rPr>
          <w:rFonts w:hint="eastAsia" w:ascii="宋体" w:hAnsi="宋体" w:cs="宋体"/>
          <w:sz w:val="24"/>
          <w:szCs w:val="24"/>
        </w:rPr>
        <w:t>统和服务体系建设的咨询规划服务：为了更好地推进</w:t>
      </w:r>
      <w:r>
        <w:rPr>
          <w:rFonts w:hint="eastAsia" w:ascii="宋体" w:hAnsi="宋体" w:cs="宋体"/>
          <w:spacing w:val="5"/>
          <w:sz w:val="24"/>
          <w:szCs w:val="24"/>
          <w:u w:val="single"/>
        </w:rPr>
        <w:t>华侨城梦幻之城售票平台项目</w:t>
      </w:r>
      <w:r>
        <w:rPr>
          <w:rFonts w:hint="eastAsia" w:ascii="宋体" w:hAnsi="宋体" w:cs="宋体"/>
          <w:sz w:val="24"/>
          <w:szCs w:val="24"/>
        </w:rPr>
        <w:t>的建设，乙方组建专业团队，按照一定步骤，持续开展</w:t>
      </w:r>
      <w:r>
        <w:rPr>
          <w:rFonts w:hint="eastAsia" w:ascii="宋体" w:hAnsi="宋体" w:cs="宋体"/>
          <w:spacing w:val="5"/>
          <w:sz w:val="24"/>
          <w:szCs w:val="24"/>
          <w:u w:val="single"/>
        </w:rPr>
        <w:t>苏华侨城梦幻之城售票平台项目</w:t>
      </w:r>
      <w:r>
        <w:rPr>
          <w:rFonts w:hint="eastAsia" w:ascii="宋体" w:hAnsi="宋体" w:cs="宋体"/>
          <w:sz w:val="24"/>
          <w:szCs w:val="24"/>
        </w:rPr>
        <w:t>的方案认证、实施、验证工作。</w:t>
      </w:r>
    </w:p>
    <w:p>
      <w:pPr>
        <w:numPr>
          <w:ilvl w:val="0"/>
          <w:numId w:val="21"/>
        </w:numPr>
        <w:adjustRightInd w:val="0"/>
        <w:snapToGrid w:val="0"/>
        <w:spacing w:line="360" w:lineRule="auto"/>
        <w:ind w:left="0" w:firstLine="480" w:firstLineChars="200"/>
        <w:rPr>
          <w:rFonts w:ascii="宋体" w:hAnsi="宋体" w:cs="宋体"/>
          <w:color w:val="000000"/>
          <w:sz w:val="24"/>
          <w:szCs w:val="24"/>
        </w:rPr>
      </w:pPr>
      <w:r>
        <w:rPr>
          <w:rFonts w:hint="eastAsia" w:ascii="宋体" w:hAnsi="宋体" w:cs="宋体"/>
          <w:color w:val="000000"/>
          <w:sz w:val="24"/>
          <w:szCs w:val="24"/>
        </w:rPr>
        <w:t>提供</w:t>
      </w:r>
      <w:r>
        <w:rPr>
          <w:rFonts w:hint="eastAsia" w:ascii="宋体" w:hAnsi="宋体" w:cs="宋体"/>
          <w:color w:val="000000"/>
          <w:spacing w:val="5"/>
          <w:sz w:val="24"/>
          <w:szCs w:val="24"/>
          <w:u w:val="single"/>
        </w:rPr>
        <w:t>华侨城梦幻之城售票平台项目</w:t>
      </w:r>
      <w:r>
        <w:rPr>
          <w:rFonts w:hint="eastAsia" w:ascii="宋体" w:hAnsi="宋体" w:cs="宋体"/>
          <w:color w:val="000000"/>
          <w:sz w:val="24"/>
          <w:szCs w:val="24"/>
        </w:rPr>
        <w:t>日常需求开发：对</w:t>
      </w:r>
      <w:r>
        <w:rPr>
          <w:rFonts w:hint="eastAsia" w:ascii="宋体" w:hAnsi="宋体" w:cs="宋体"/>
          <w:color w:val="000000"/>
          <w:spacing w:val="5"/>
          <w:sz w:val="24"/>
          <w:szCs w:val="24"/>
          <w:u w:val="single"/>
        </w:rPr>
        <w:t>华侨城梦幻之城售票平台项目</w:t>
      </w:r>
      <w:r>
        <w:rPr>
          <w:rFonts w:hint="eastAsia" w:ascii="宋体" w:hAnsi="宋体" w:cs="宋体"/>
          <w:color w:val="000000"/>
          <w:sz w:val="24"/>
          <w:szCs w:val="24"/>
        </w:rPr>
        <w:t>日常需求进行需求分析、开发工作和其他配合工作。</w:t>
      </w:r>
    </w:p>
    <w:p>
      <w:pPr>
        <w:numPr>
          <w:ilvl w:val="0"/>
          <w:numId w:val="21"/>
        </w:numPr>
        <w:adjustRightInd w:val="0"/>
        <w:snapToGrid w:val="0"/>
        <w:spacing w:line="360" w:lineRule="auto"/>
        <w:ind w:left="0" w:firstLine="480" w:firstLineChars="200"/>
        <w:rPr>
          <w:rFonts w:ascii="宋体" w:hAnsi="宋体" w:cs="宋体"/>
          <w:color w:val="000000"/>
          <w:sz w:val="24"/>
          <w:szCs w:val="24"/>
        </w:rPr>
      </w:pPr>
      <w:r>
        <w:rPr>
          <w:rFonts w:hint="eastAsia" w:ascii="宋体" w:hAnsi="宋体" w:cs="宋体"/>
          <w:color w:val="000000"/>
          <w:sz w:val="24"/>
          <w:szCs w:val="24"/>
        </w:rPr>
        <w:t>提供免费维护期保障：乙方全天候受理系统免费维护期内的各类故障维护请求及咨询投诉，以保证甲方系统能连续、高效、稳定地运行。主要提供以下类型的技术支持及服务：热线服务、远程支持、现场服务、现场培训服务。</w:t>
      </w:r>
    </w:p>
    <w:p>
      <w:pPr>
        <w:numPr>
          <w:ilvl w:val="0"/>
          <w:numId w:val="18"/>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技术服务的方式：根据日常运行过程中出现的问题、新需求和应用的进度的安排，提供开发、维护、咨询等工作。</w:t>
      </w:r>
    </w:p>
    <w:p>
      <w:pPr>
        <w:numPr>
          <w:ilvl w:val="0"/>
          <w:numId w:val="18"/>
        </w:numPr>
        <w:adjustRightInd w:val="0"/>
        <w:snapToGrid w:val="0"/>
        <w:spacing w:line="360" w:lineRule="auto"/>
        <w:ind w:left="0" w:firstLine="0"/>
        <w:rPr>
          <w:rFonts w:ascii="宋体" w:hAnsi="宋体" w:cs="宋体"/>
          <w:color w:val="000000"/>
          <w:sz w:val="24"/>
          <w:szCs w:val="24"/>
          <w:u w:val="single"/>
        </w:rPr>
      </w:pPr>
      <w:r>
        <w:rPr>
          <w:rFonts w:hint="eastAsia" w:ascii="宋体" w:hAnsi="宋体" w:cs="宋体"/>
          <w:color w:val="000000"/>
          <w:sz w:val="24"/>
          <w:szCs w:val="24"/>
        </w:rPr>
        <w:t>乙方为甲方提供的技术开发包括以下系统：业务运营支撑系统结算和报表性能优化、专项安全加固模块、小额系统新需求开发及维护支撑。</w:t>
      </w:r>
    </w:p>
    <w:p>
      <w:pPr>
        <w:numPr>
          <w:ilvl w:val="0"/>
          <w:numId w:val="16"/>
        </w:numPr>
        <w:tabs>
          <w:tab w:val="left" w:pos="525"/>
        </w:tabs>
        <w:adjustRightInd w:val="0"/>
        <w:snapToGrid w:val="0"/>
        <w:spacing w:line="360" w:lineRule="auto"/>
        <w:ind w:left="0" w:firstLine="0"/>
        <w:rPr>
          <w:rFonts w:ascii="宋体" w:hAnsi="宋体" w:cs="宋体"/>
          <w:b/>
          <w:color w:val="000000"/>
          <w:sz w:val="24"/>
          <w:szCs w:val="24"/>
        </w:rPr>
      </w:pPr>
      <w:r>
        <w:rPr>
          <w:rFonts w:hint="eastAsia" w:ascii="宋体" w:hAnsi="宋体" w:cs="宋体"/>
          <w:b/>
          <w:color w:val="000000"/>
          <w:sz w:val="24"/>
          <w:szCs w:val="24"/>
        </w:rPr>
        <w:t>系统开发与维护服务</w:t>
      </w:r>
    </w:p>
    <w:p>
      <w:pPr>
        <w:numPr>
          <w:ilvl w:val="0"/>
          <w:numId w:val="22"/>
        </w:numPr>
        <w:tabs>
          <w:tab w:val="left" w:pos="525"/>
        </w:tabs>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系统开发管理</w:t>
      </w:r>
    </w:p>
    <w:p>
      <w:pPr>
        <w:numPr>
          <w:ilvl w:val="0"/>
          <w:numId w:val="23"/>
        </w:numPr>
        <w:tabs>
          <w:tab w:val="left" w:pos="525"/>
        </w:tabs>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系统开发计划周期</w:t>
      </w:r>
    </w:p>
    <w:p>
      <w:pPr>
        <w:pStyle w:val="50"/>
        <w:widowControl w:val="0"/>
        <w:adjustRightInd w:val="0"/>
        <w:snapToGrid w:val="0"/>
        <w:spacing w:before="0" w:beforeAutospacing="0" w:after="0" w:afterAutospacing="0" w:line="360" w:lineRule="auto"/>
        <w:ind w:firstLine="420"/>
        <w:jc w:val="both"/>
        <w:rPr>
          <w:color w:val="000000"/>
        </w:rPr>
      </w:pPr>
      <w:r>
        <w:rPr>
          <w:rFonts w:hint="eastAsia"/>
          <w:color w:val="000000"/>
          <w:highlight w:val="yellow"/>
        </w:rPr>
        <w:t>系统开发的周期预计为</w:t>
      </w:r>
      <w:r>
        <w:rPr>
          <w:rFonts w:hint="eastAsia"/>
          <w:color w:val="000000"/>
          <w:highlight w:val="yellow"/>
          <w:u w:val="single"/>
        </w:rPr>
        <w:t xml:space="preserve"> 15个</w:t>
      </w:r>
      <w:r>
        <w:rPr>
          <w:rFonts w:hint="eastAsia"/>
          <w:color w:val="000000"/>
          <w:highlight w:val="yellow"/>
        </w:rPr>
        <w:t>自然日，</w:t>
      </w:r>
      <w:r>
        <w:rPr>
          <w:rFonts w:hint="eastAsia"/>
          <w:color w:val="000000"/>
        </w:rPr>
        <w:t>基于对甲方的业务目标、业务能力和IT环境的理解，甲乙双方确定通过分阶段渐进式的策略，分步实现甲方的业务目标和业务需求。双方同意按照优先级的高低和功能实施难度的高低对甲方的业务需求进行分析研究；并根据按“需求优先级由高到低，实施由易入难”的原则进行阶段划分，以达到快速部署，迅速见效。具体而言，本项目可分为以下四个阶段：</w:t>
      </w:r>
    </w:p>
    <w:tbl>
      <w:tblPr>
        <w:tblStyle w:val="56"/>
        <w:tblW w:w="9064" w:type="dxa"/>
        <w:jc w:val="center"/>
        <w:tblLayout w:type="fixed"/>
        <w:tblCellMar>
          <w:top w:w="0" w:type="dxa"/>
          <w:left w:w="108" w:type="dxa"/>
          <w:bottom w:w="0" w:type="dxa"/>
          <w:right w:w="108" w:type="dxa"/>
        </w:tblCellMar>
      </w:tblPr>
      <w:tblGrid>
        <w:gridCol w:w="1410"/>
        <w:gridCol w:w="4111"/>
        <w:gridCol w:w="3543"/>
      </w:tblGrid>
      <w:tr>
        <w:tblPrEx>
          <w:tblCellMar>
            <w:top w:w="0" w:type="dxa"/>
            <w:left w:w="108" w:type="dxa"/>
            <w:bottom w:w="0" w:type="dxa"/>
            <w:right w:w="108" w:type="dxa"/>
          </w:tblCellMar>
        </w:tblPrEx>
        <w:trPr>
          <w:trHeight w:val="66" w:hRule="atLeast"/>
          <w:jc w:val="center"/>
        </w:trPr>
        <w:tc>
          <w:tcPr>
            <w:tcW w:w="1410" w:type="dxa"/>
            <w:tcBorders>
              <w:top w:val="single" w:color="000000" w:sz="6" w:space="0"/>
              <w:left w:val="single" w:color="000000" w:sz="6" w:space="0"/>
              <w:bottom w:val="single" w:color="000000" w:sz="6" w:space="0"/>
              <w:right w:val="single" w:color="000000" w:sz="6" w:space="0"/>
            </w:tcBorders>
          </w:tcPr>
          <w:p>
            <w:pPr>
              <w:pStyle w:val="50"/>
              <w:spacing w:before="0" w:beforeAutospacing="0" w:after="0" w:afterAutospacing="0" w:line="360" w:lineRule="auto"/>
              <w:jc w:val="center"/>
              <w:rPr>
                <w:b/>
                <w:color w:val="000000"/>
              </w:rPr>
            </w:pPr>
            <w:r>
              <w:rPr>
                <w:rFonts w:hint="eastAsia"/>
                <w:b/>
                <w:color w:val="000000"/>
              </w:rPr>
              <w:t>阶段划分</w:t>
            </w:r>
          </w:p>
        </w:tc>
        <w:tc>
          <w:tcPr>
            <w:tcW w:w="4111" w:type="dxa"/>
            <w:tcBorders>
              <w:top w:val="single" w:color="000000" w:sz="6" w:space="0"/>
              <w:left w:val="single" w:color="000000" w:sz="6" w:space="0"/>
              <w:bottom w:val="single" w:color="000000" w:sz="6" w:space="0"/>
              <w:right w:val="single" w:color="000000" w:sz="6" w:space="0"/>
            </w:tcBorders>
          </w:tcPr>
          <w:p>
            <w:pPr>
              <w:pStyle w:val="50"/>
              <w:spacing w:before="0" w:beforeAutospacing="0" w:after="0" w:afterAutospacing="0" w:line="360" w:lineRule="auto"/>
              <w:jc w:val="center"/>
              <w:rPr>
                <w:b/>
                <w:color w:val="000000"/>
              </w:rPr>
            </w:pPr>
            <w:r>
              <w:rPr>
                <w:rFonts w:hint="eastAsia"/>
                <w:b/>
                <w:color w:val="000000"/>
              </w:rPr>
              <w:t>项目计划</w:t>
            </w:r>
          </w:p>
        </w:tc>
        <w:tc>
          <w:tcPr>
            <w:tcW w:w="3543" w:type="dxa"/>
            <w:tcBorders>
              <w:top w:val="single" w:color="000000" w:sz="6" w:space="0"/>
              <w:left w:val="single" w:color="000000" w:sz="6" w:space="0"/>
              <w:bottom w:val="single" w:color="000000" w:sz="6" w:space="0"/>
              <w:right w:val="single" w:color="000000" w:sz="6" w:space="0"/>
            </w:tcBorders>
          </w:tcPr>
          <w:p>
            <w:pPr>
              <w:pStyle w:val="50"/>
              <w:spacing w:before="0" w:beforeAutospacing="0" w:after="0" w:afterAutospacing="0" w:line="360" w:lineRule="auto"/>
              <w:jc w:val="center"/>
              <w:rPr>
                <w:b/>
                <w:color w:val="000000"/>
              </w:rPr>
            </w:pPr>
            <w:r>
              <w:rPr>
                <w:rFonts w:hint="eastAsia"/>
                <w:b/>
                <w:color w:val="000000"/>
              </w:rPr>
              <w:t>预计交付时间</w:t>
            </w:r>
          </w:p>
        </w:tc>
      </w:tr>
      <w:tr>
        <w:tblPrEx>
          <w:tblCellMar>
            <w:top w:w="0" w:type="dxa"/>
            <w:left w:w="108" w:type="dxa"/>
            <w:bottom w:w="0" w:type="dxa"/>
            <w:right w:w="108" w:type="dxa"/>
          </w:tblCellMar>
        </w:tblPrEx>
        <w:trPr>
          <w:jc w:val="center"/>
        </w:trPr>
        <w:tc>
          <w:tcPr>
            <w:tcW w:w="1410" w:type="dxa"/>
            <w:tcBorders>
              <w:top w:val="single" w:color="000000" w:sz="6" w:space="0"/>
              <w:left w:val="single" w:color="000000" w:sz="6" w:space="0"/>
              <w:bottom w:val="single" w:color="000000" w:sz="6" w:space="0"/>
              <w:right w:val="single" w:color="000000" w:sz="6" w:space="0"/>
            </w:tcBorders>
          </w:tcPr>
          <w:p>
            <w:pPr>
              <w:pStyle w:val="50"/>
              <w:spacing w:before="0" w:beforeAutospacing="0" w:after="0" w:afterAutospacing="0" w:line="360" w:lineRule="auto"/>
              <w:jc w:val="center"/>
              <w:rPr>
                <w:b/>
                <w:color w:val="000000"/>
              </w:rPr>
            </w:pPr>
            <w:r>
              <w:rPr>
                <w:rFonts w:hint="eastAsia"/>
                <w:b/>
                <w:color w:val="000000"/>
              </w:rPr>
              <w:t>第一阶段</w:t>
            </w:r>
          </w:p>
        </w:tc>
        <w:tc>
          <w:tcPr>
            <w:tcW w:w="4111" w:type="dxa"/>
            <w:tcBorders>
              <w:top w:val="single" w:color="000000" w:sz="6" w:space="0"/>
              <w:left w:val="single" w:color="000000" w:sz="6" w:space="0"/>
              <w:bottom w:val="single" w:color="000000" w:sz="6" w:space="0"/>
              <w:right w:val="single" w:color="000000" w:sz="6" w:space="0"/>
            </w:tcBorders>
          </w:tcPr>
          <w:p>
            <w:pPr>
              <w:pStyle w:val="50"/>
              <w:spacing w:before="0" w:beforeAutospacing="0" w:after="0" w:afterAutospacing="0" w:line="360" w:lineRule="auto"/>
              <w:jc w:val="center"/>
              <w:rPr>
                <w:color w:val="000000"/>
              </w:rPr>
            </w:pPr>
            <w:r>
              <w:rPr>
                <w:rFonts w:hint="eastAsia"/>
                <w:color w:val="000000"/>
              </w:rPr>
              <w:t>软件需求分析与设计、编码、调试。</w:t>
            </w:r>
          </w:p>
        </w:tc>
        <w:tc>
          <w:tcPr>
            <w:tcW w:w="3543" w:type="dxa"/>
            <w:tcBorders>
              <w:top w:val="single" w:color="000000" w:sz="6" w:space="0"/>
              <w:left w:val="single" w:color="000000" w:sz="6" w:space="0"/>
              <w:bottom w:val="single" w:color="000000" w:sz="6" w:space="0"/>
              <w:right w:val="single" w:color="000000" w:sz="6" w:space="0"/>
            </w:tcBorders>
          </w:tcPr>
          <w:p>
            <w:pPr>
              <w:pStyle w:val="50"/>
              <w:spacing w:before="0" w:beforeAutospacing="0" w:after="0" w:afterAutospacing="0" w:line="360" w:lineRule="auto"/>
              <w:jc w:val="center"/>
              <w:rPr>
                <w:color w:val="000000"/>
              </w:rPr>
            </w:pPr>
            <w:r>
              <w:rPr>
                <w:rFonts w:hint="eastAsia"/>
                <w:color w:val="000000"/>
              </w:rPr>
              <w:t>2021年 月 日- 2021年 月 日</w:t>
            </w:r>
          </w:p>
        </w:tc>
      </w:tr>
      <w:tr>
        <w:tblPrEx>
          <w:tblCellMar>
            <w:top w:w="0" w:type="dxa"/>
            <w:left w:w="108" w:type="dxa"/>
            <w:bottom w:w="0" w:type="dxa"/>
            <w:right w:w="108" w:type="dxa"/>
          </w:tblCellMar>
        </w:tblPrEx>
        <w:trPr>
          <w:jc w:val="center"/>
        </w:trPr>
        <w:tc>
          <w:tcPr>
            <w:tcW w:w="1410" w:type="dxa"/>
            <w:tcBorders>
              <w:top w:val="single" w:color="000000" w:sz="6" w:space="0"/>
              <w:left w:val="single" w:color="000000" w:sz="6" w:space="0"/>
              <w:bottom w:val="single" w:color="000000" w:sz="6" w:space="0"/>
              <w:right w:val="single" w:color="000000" w:sz="6" w:space="0"/>
            </w:tcBorders>
          </w:tcPr>
          <w:p>
            <w:pPr>
              <w:pStyle w:val="50"/>
              <w:spacing w:before="0" w:beforeAutospacing="0" w:after="0" w:afterAutospacing="0" w:line="360" w:lineRule="auto"/>
              <w:jc w:val="center"/>
              <w:rPr>
                <w:b/>
                <w:color w:val="000000"/>
              </w:rPr>
            </w:pPr>
            <w:r>
              <w:rPr>
                <w:rFonts w:hint="eastAsia"/>
                <w:b/>
                <w:color w:val="000000"/>
              </w:rPr>
              <w:t>第二阶段</w:t>
            </w:r>
          </w:p>
        </w:tc>
        <w:tc>
          <w:tcPr>
            <w:tcW w:w="4111" w:type="dxa"/>
            <w:tcBorders>
              <w:top w:val="single" w:color="000000" w:sz="6" w:space="0"/>
              <w:left w:val="single" w:color="000000" w:sz="6" w:space="0"/>
              <w:bottom w:val="single" w:color="000000" w:sz="6" w:space="0"/>
              <w:right w:val="single" w:color="000000" w:sz="6" w:space="0"/>
            </w:tcBorders>
          </w:tcPr>
          <w:p>
            <w:pPr>
              <w:pStyle w:val="50"/>
              <w:spacing w:before="0" w:beforeAutospacing="0" w:after="0" w:afterAutospacing="0" w:line="360" w:lineRule="auto"/>
              <w:jc w:val="center"/>
              <w:rPr>
                <w:color w:val="000000"/>
              </w:rPr>
            </w:pPr>
            <w:r>
              <w:rPr>
                <w:rFonts w:hint="eastAsia"/>
                <w:color w:val="000000"/>
              </w:rPr>
              <w:t>项目正式上线试运行。</w:t>
            </w:r>
          </w:p>
        </w:tc>
        <w:tc>
          <w:tcPr>
            <w:tcW w:w="3543" w:type="dxa"/>
            <w:tcBorders>
              <w:top w:val="single" w:color="000000" w:sz="6" w:space="0"/>
              <w:left w:val="single" w:color="000000" w:sz="6" w:space="0"/>
              <w:bottom w:val="single" w:color="000000" w:sz="6" w:space="0"/>
              <w:right w:val="single" w:color="000000" w:sz="6" w:space="0"/>
            </w:tcBorders>
          </w:tcPr>
          <w:p>
            <w:pPr>
              <w:pStyle w:val="50"/>
              <w:spacing w:before="0" w:beforeAutospacing="0" w:after="0" w:afterAutospacing="0" w:line="360" w:lineRule="auto"/>
              <w:jc w:val="center"/>
              <w:rPr>
                <w:color w:val="000000"/>
              </w:rPr>
            </w:pPr>
            <w:r>
              <w:rPr>
                <w:rFonts w:hint="eastAsia"/>
                <w:color w:val="000000"/>
              </w:rPr>
              <w:t>2021年 月 日- 2021年 月 日</w:t>
            </w:r>
          </w:p>
        </w:tc>
      </w:tr>
      <w:tr>
        <w:tblPrEx>
          <w:tblCellMar>
            <w:top w:w="0" w:type="dxa"/>
            <w:left w:w="108" w:type="dxa"/>
            <w:bottom w:w="0" w:type="dxa"/>
            <w:right w:w="108" w:type="dxa"/>
          </w:tblCellMar>
        </w:tblPrEx>
        <w:trPr>
          <w:jc w:val="center"/>
        </w:trPr>
        <w:tc>
          <w:tcPr>
            <w:tcW w:w="1410" w:type="dxa"/>
            <w:tcBorders>
              <w:top w:val="single" w:color="000000" w:sz="6" w:space="0"/>
              <w:left w:val="single" w:color="000000" w:sz="6" w:space="0"/>
              <w:bottom w:val="single" w:color="000000" w:sz="6" w:space="0"/>
              <w:right w:val="single" w:color="000000" w:sz="6" w:space="0"/>
            </w:tcBorders>
          </w:tcPr>
          <w:p>
            <w:pPr>
              <w:pStyle w:val="50"/>
              <w:spacing w:before="0" w:beforeAutospacing="0" w:after="0" w:afterAutospacing="0" w:line="360" w:lineRule="auto"/>
              <w:jc w:val="center"/>
              <w:rPr>
                <w:b/>
                <w:color w:val="000000"/>
              </w:rPr>
            </w:pPr>
            <w:r>
              <w:rPr>
                <w:rFonts w:hint="eastAsia"/>
                <w:b/>
                <w:color w:val="000000"/>
              </w:rPr>
              <w:t>第三阶段</w:t>
            </w:r>
          </w:p>
        </w:tc>
        <w:tc>
          <w:tcPr>
            <w:tcW w:w="4111" w:type="dxa"/>
            <w:tcBorders>
              <w:top w:val="single" w:color="000000" w:sz="6" w:space="0"/>
              <w:left w:val="single" w:color="000000" w:sz="6" w:space="0"/>
              <w:bottom w:val="single" w:color="000000" w:sz="6" w:space="0"/>
              <w:right w:val="single" w:color="000000" w:sz="6" w:space="0"/>
            </w:tcBorders>
          </w:tcPr>
          <w:p>
            <w:pPr>
              <w:pStyle w:val="50"/>
              <w:spacing w:before="0" w:beforeAutospacing="0" w:after="0" w:afterAutospacing="0" w:line="360" w:lineRule="auto"/>
              <w:jc w:val="center"/>
              <w:rPr>
                <w:color w:val="000000"/>
              </w:rPr>
            </w:pPr>
            <w:r>
              <w:rPr>
                <w:rFonts w:hint="eastAsia"/>
              </w:rPr>
              <w:t>软件正式验收。</w:t>
            </w:r>
          </w:p>
        </w:tc>
        <w:tc>
          <w:tcPr>
            <w:tcW w:w="3543" w:type="dxa"/>
            <w:tcBorders>
              <w:top w:val="single" w:color="000000" w:sz="6" w:space="0"/>
              <w:left w:val="single" w:color="000000" w:sz="6" w:space="0"/>
              <w:bottom w:val="single" w:color="000000" w:sz="6" w:space="0"/>
              <w:right w:val="single" w:color="000000" w:sz="6" w:space="0"/>
            </w:tcBorders>
          </w:tcPr>
          <w:p>
            <w:pPr>
              <w:pStyle w:val="50"/>
              <w:spacing w:before="0" w:beforeAutospacing="0" w:after="0" w:afterAutospacing="0" w:line="360" w:lineRule="auto"/>
              <w:jc w:val="center"/>
              <w:rPr>
                <w:color w:val="000000"/>
              </w:rPr>
            </w:pPr>
            <w:r>
              <w:rPr>
                <w:rFonts w:hint="eastAsia"/>
                <w:color w:val="000000"/>
              </w:rPr>
              <w:t>2021年 月 日- 2021年 月 日</w:t>
            </w:r>
          </w:p>
        </w:tc>
      </w:tr>
    </w:tbl>
    <w:p>
      <w:pPr>
        <w:adjustRightInd w:val="0"/>
        <w:snapToGrid w:val="0"/>
        <w:spacing w:line="360" w:lineRule="auto"/>
        <w:ind w:firstLine="420"/>
        <w:rPr>
          <w:rFonts w:ascii="宋体" w:hAnsi="宋体" w:cs="宋体"/>
          <w:color w:val="000000"/>
          <w:sz w:val="24"/>
          <w:szCs w:val="24"/>
        </w:rPr>
      </w:pPr>
      <w:r>
        <w:rPr>
          <w:rFonts w:hint="eastAsia" w:ascii="宋体" w:hAnsi="宋体" w:cs="宋体"/>
          <w:color w:val="000000"/>
          <w:sz w:val="24"/>
          <w:szCs w:val="24"/>
        </w:rPr>
        <w:t>甲方应与乙方共同保证项目严格按照拟定的项目计划执行，项目的阶段确认以乙方提交的阶段成果为依据，甲方应及时接收、评估、确认乙方提交的阶段性报告或阶段成果。项目实施过程中，在收到乙方提交的需要确认的各项报告后，甲方需要在10个工作日内给予答复，如果逾期没有答复，则视为甲方默认确认该份报告。</w:t>
      </w:r>
    </w:p>
    <w:p>
      <w:pPr>
        <w:numPr>
          <w:ilvl w:val="0"/>
          <w:numId w:val="23"/>
        </w:numPr>
        <w:tabs>
          <w:tab w:val="left" w:pos="525"/>
        </w:tabs>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项目核心成员</w:t>
      </w:r>
    </w:p>
    <w:p>
      <w:pPr>
        <w:tabs>
          <w:tab w:val="left" w:pos="525"/>
        </w:tabs>
        <w:adjustRightInd w:val="0"/>
        <w:snapToGrid w:val="0"/>
        <w:spacing w:line="360" w:lineRule="auto"/>
        <w:rPr>
          <w:rFonts w:ascii="宋体" w:hAnsi="宋体" w:cs="宋体"/>
          <w:color w:val="000000"/>
          <w:sz w:val="24"/>
          <w:szCs w:val="24"/>
        </w:rPr>
      </w:pPr>
      <w:r>
        <w:rPr>
          <w:rFonts w:hint="eastAsia" w:ascii="宋体" w:hAnsi="宋体" w:cs="宋体"/>
          <w:color w:val="000000"/>
          <w:sz w:val="24"/>
          <w:szCs w:val="24"/>
        </w:rPr>
        <w:t>在按照合同履行服务时，双方应指派足够的、具备相应能力的人员参与，并确保相应人员的相对稳定。双方确定，在本合同有效期内，甲方指定</w:t>
      </w:r>
      <w:r>
        <w:rPr>
          <w:rFonts w:hint="eastAsia" w:ascii="宋体" w:hAnsi="宋体" w:cs="宋体"/>
          <w:color w:val="000000"/>
          <w:sz w:val="24"/>
          <w:szCs w:val="24"/>
          <w:u w:val="single"/>
        </w:rPr>
        <w:t xml:space="preserve">        </w:t>
      </w:r>
      <w:r>
        <w:rPr>
          <w:rFonts w:hint="eastAsia" w:ascii="宋体" w:hAnsi="宋体" w:cs="宋体"/>
          <w:color w:val="000000"/>
          <w:sz w:val="24"/>
          <w:szCs w:val="24"/>
        </w:rPr>
        <w:t>（联系电话：</w:t>
      </w:r>
      <w:r>
        <w:rPr>
          <w:rFonts w:hint="eastAsia" w:ascii="宋体" w:hAnsi="宋体" w:cs="宋体"/>
          <w:color w:val="000000"/>
          <w:sz w:val="24"/>
          <w:szCs w:val="24"/>
          <w:u w:val="single"/>
        </w:rPr>
        <w:t xml:space="preserve">       </w:t>
      </w:r>
      <w:r>
        <w:rPr>
          <w:rFonts w:hint="eastAsia" w:ascii="宋体" w:hAnsi="宋体" w:cs="宋体"/>
          <w:color w:val="000000"/>
          <w:sz w:val="24"/>
          <w:szCs w:val="24"/>
        </w:rPr>
        <w:t>）为甲方项目联系人，乙方指定</w:t>
      </w:r>
      <w:r>
        <w:rPr>
          <w:rFonts w:hint="eastAsia" w:ascii="宋体" w:hAnsi="宋体" w:cs="宋体"/>
          <w:color w:val="000000"/>
          <w:sz w:val="24"/>
          <w:szCs w:val="24"/>
          <w:u w:val="single"/>
        </w:rPr>
        <w:t xml:space="preserve">       </w:t>
      </w:r>
      <w:r>
        <w:rPr>
          <w:rFonts w:hint="eastAsia" w:ascii="宋体" w:hAnsi="宋体" w:cs="宋体"/>
          <w:color w:val="000000"/>
          <w:sz w:val="24"/>
          <w:szCs w:val="24"/>
        </w:rPr>
        <w:t>（联系电话：</w:t>
      </w:r>
      <w:r>
        <w:rPr>
          <w:rFonts w:hint="eastAsia" w:ascii="宋体" w:hAnsi="宋体" w:cs="宋体"/>
          <w:color w:val="000000"/>
          <w:sz w:val="24"/>
          <w:szCs w:val="24"/>
          <w:u w:val="single"/>
        </w:rPr>
        <w:t xml:space="preserve">            </w:t>
      </w:r>
      <w:r>
        <w:rPr>
          <w:rFonts w:hint="eastAsia" w:ascii="宋体" w:hAnsi="宋体" w:cs="宋体"/>
          <w:color w:val="000000"/>
          <w:sz w:val="24"/>
          <w:szCs w:val="24"/>
        </w:rPr>
        <w:t>）为乙方项目联系人。项目联系人承担以下责任：</w:t>
      </w:r>
    </w:p>
    <w:p>
      <w:pPr>
        <w:numPr>
          <w:ilvl w:val="0"/>
          <w:numId w:val="24"/>
        </w:numPr>
        <w:tabs>
          <w:tab w:val="left" w:pos="525"/>
        </w:tabs>
        <w:adjustRightInd w:val="0"/>
        <w:snapToGrid w:val="0"/>
        <w:spacing w:line="360" w:lineRule="auto"/>
        <w:ind w:left="0" w:firstLine="480" w:firstLineChars="200"/>
        <w:rPr>
          <w:rFonts w:ascii="宋体" w:hAnsi="宋体" w:cs="宋体"/>
          <w:color w:val="000000"/>
          <w:sz w:val="24"/>
          <w:szCs w:val="24"/>
        </w:rPr>
      </w:pPr>
      <w:r>
        <w:rPr>
          <w:rFonts w:hint="eastAsia" w:ascii="宋体" w:hAnsi="宋体" w:cs="宋体"/>
          <w:color w:val="000000"/>
          <w:sz w:val="24"/>
          <w:szCs w:val="24"/>
        </w:rPr>
        <w:t>协调</w:t>
      </w:r>
      <w:r>
        <w:rPr>
          <w:rFonts w:hint="eastAsia" w:ascii="宋体" w:hAnsi="宋体" w:cs="宋体"/>
          <w:color w:val="000000"/>
          <w:spacing w:val="5"/>
          <w:sz w:val="24"/>
          <w:szCs w:val="24"/>
        </w:rPr>
        <w:t>华侨城梦幻之城售票平台项目</w:t>
      </w:r>
      <w:r>
        <w:rPr>
          <w:rFonts w:hint="eastAsia" w:ascii="宋体" w:hAnsi="宋体" w:cs="宋体"/>
          <w:color w:val="000000"/>
          <w:sz w:val="24"/>
          <w:szCs w:val="24"/>
        </w:rPr>
        <w:t>应用技术服务的进度；</w:t>
      </w:r>
    </w:p>
    <w:p>
      <w:pPr>
        <w:numPr>
          <w:ilvl w:val="0"/>
          <w:numId w:val="24"/>
        </w:numPr>
        <w:tabs>
          <w:tab w:val="left" w:pos="525"/>
        </w:tabs>
        <w:adjustRightInd w:val="0"/>
        <w:snapToGrid w:val="0"/>
        <w:spacing w:line="360" w:lineRule="auto"/>
        <w:ind w:left="0" w:firstLine="480" w:firstLineChars="200"/>
        <w:rPr>
          <w:rFonts w:ascii="宋体" w:hAnsi="宋体" w:cs="宋体"/>
          <w:color w:val="000000"/>
          <w:sz w:val="24"/>
          <w:szCs w:val="24"/>
        </w:rPr>
      </w:pPr>
      <w:r>
        <w:rPr>
          <w:rFonts w:hint="eastAsia" w:ascii="宋体" w:hAnsi="宋体" w:cs="宋体"/>
          <w:color w:val="000000"/>
          <w:sz w:val="24"/>
          <w:szCs w:val="24"/>
        </w:rPr>
        <w:t>完善应用环境，拓展应用领域；</w:t>
      </w:r>
    </w:p>
    <w:p>
      <w:pPr>
        <w:numPr>
          <w:ilvl w:val="0"/>
          <w:numId w:val="24"/>
        </w:numPr>
        <w:tabs>
          <w:tab w:val="left" w:pos="525"/>
        </w:tabs>
        <w:adjustRightInd w:val="0"/>
        <w:snapToGrid w:val="0"/>
        <w:spacing w:line="360" w:lineRule="auto"/>
        <w:ind w:left="0" w:firstLine="480" w:firstLineChars="200"/>
        <w:rPr>
          <w:rFonts w:ascii="宋体" w:hAnsi="宋体" w:cs="宋体"/>
          <w:color w:val="000000"/>
          <w:sz w:val="24"/>
          <w:szCs w:val="24"/>
        </w:rPr>
      </w:pPr>
      <w:r>
        <w:rPr>
          <w:rFonts w:hint="eastAsia" w:ascii="宋体" w:hAnsi="宋体" w:cs="宋体"/>
          <w:color w:val="000000"/>
          <w:sz w:val="24"/>
          <w:szCs w:val="24"/>
        </w:rPr>
        <w:t>安排和协调系统和数据维护服务，及咨询服务。</w:t>
      </w:r>
    </w:p>
    <w:p>
      <w:pPr>
        <w:tabs>
          <w:tab w:val="left" w:pos="525"/>
        </w:tabs>
        <w:adjustRightInd w:val="0"/>
        <w:snapToGrid w:val="0"/>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项目联系人若有变动，变动的一方需以书面形式通知另一方，否则，变动的一方应承担未及时通知所造成的法律后果。</w:t>
      </w:r>
    </w:p>
    <w:p>
      <w:pPr>
        <w:numPr>
          <w:ilvl w:val="0"/>
          <w:numId w:val="23"/>
        </w:numPr>
        <w:tabs>
          <w:tab w:val="left" w:pos="525"/>
        </w:tabs>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乙方应按下列要求完成技术服务工作</w:t>
      </w:r>
    </w:p>
    <w:p>
      <w:pPr>
        <w:numPr>
          <w:ilvl w:val="0"/>
          <w:numId w:val="25"/>
        </w:numPr>
        <w:tabs>
          <w:tab w:val="left" w:pos="525"/>
        </w:tabs>
        <w:adjustRightInd w:val="0"/>
        <w:snapToGrid w:val="0"/>
        <w:spacing w:line="360" w:lineRule="auto"/>
        <w:ind w:left="0" w:firstLine="480" w:firstLineChars="200"/>
        <w:rPr>
          <w:rFonts w:ascii="宋体" w:hAnsi="宋体" w:cs="宋体"/>
          <w:sz w:val="24"/>
          <w:szCs w:val="24"/>
        </w:rPr>
      </w:pPr>
      <w:r>
        <w:rPr>
          <w:rFonts w:hint="eastAsia" w:ascii="宋体" w:hAnsi="宋体" w:cs="宋体"/>
          <w:color w:val="000000"/>
          <w:sz w:val="24"/>
          <w:szCs w:val="24"/>
        </w:rPr>
        <w:t>技术服</w:t>
      </w:r>
      <w:r>
        <w:rPr>
          <w:rFonts w:hint="eastAsia" w:ascii="宋体" w:hAnsi="宋体" w:cs="宋体"/>
          <w:sz w:val="24"/>
          <w:szCs w:val="24"/>
        </w:rPr>
        <w:t>务地点：扬州市民卡有限责任公司；</w:t>
      </w:r>
    </w:p>
    <w:p>
      <w:pPr>
        <w:numPr>
          <w:ilvl w:val="0"/>
          <w:numId w:val="25"/>
        </w:numPr>
        <w:tabs>
          <w:tab w:val="left" w:pos="525"/>
        </w:tabs>
        <w:adjustRightInd w:val="0"/>
        <w:snapToGrid w:val="0"/>
        <w:spacing w:line="360" w:lineRule="auto"/>
        <w:ind w:left="0" w:firstLine="480" w:firstLineChars="200"/>
        <w:rPr>
          <w:rFonts w:ascii="宋体" w:hAnsi="宋体" w:cs="宋体"/>
          <w:sz w:val="24"/>
          <w:szCs w:val="24"/>
        </w:rPr>
      </w:pPr>
      <w:r>
        <w:rPr>
          <w:rFonts w:hint="eastAsia" w:ascii="宋体" w:hAnsi="宋体" w:cs="宋体"/>
          <w:sz w:val="24"/>
          <w:szCs w:val="24"/>
        </w:rPr>
        <w:t>技术服务进度：按照业务需求提出的进度进行后续技术服务；</w:t>
      </w:r>
    </w:p>
    <w:p>
      <w:pPr>
        <w:numPr>
          <w:ilvl w:val="0"/>
          <w:numId w:val="25"/>
        </w:numPr>
        <w:tabs>
          <w:tab w:val="left" w:pos="525"/>
        </w:tabs>
        <w:adjustRightInd w:val="0"/>
        <w:snapToGrid w:val="0"/>
        <w:spacing w:line="360" w:lineRule="auto"/>
        <w:ind w:left="0" w:firstLine="480" w:firstLineChars="200"/>
        <w:rPr>
          <w:rFonts w:ascii="宋体" w:hAnsi="宋体" w:cs="宋体"/>
          <w:color w:val="000000"/>
          <w:sz w:val="24"/>
          <w:szCs w:val="24"/>
        </w:rPr>
      </w:pPr>
      <w:r>
        <w:rPr>
          <w:rFonts w:hint="eastAsia" w:ascii="宋体" w:hAnsi="宋体" w:cs="宋体"/>
          <w:sz w:val="24"/>
          <w:szCs w:val="24"/>
        </w:rPr>
        <w:t>技术服务质量要求：开发服务满足</w:t>
      </w:r>
      <w:r>
        <w:rPr>
          <w:rFonts w:hint="eastAsia" w:ascii="宋体" w:hAnsi="宋体" w:cs="宋体"/>
          <w:spacing w:val="5"/>
          <w:sz w:val="24"/>
          <w:szCs w:val="24"/>
        </w:rPr>
        <w:t>华侨城梦幻之城售票平台项</w:t>
      </w:r>
      <w:r>
        <w:rPr>
          <w:rFonts w:hint="eastAsia" w:ascii="宋体" w:hAnsi="宋体" w:cs="宋体"/>
          <w:color w:val="000000"/>
          <w:spacing w:val="5"/>
          <w:sz w:val="24"/>
          <w:szCs w:val="24"/>
        </w:rPr>
        <w:t>目</w:t>
      </w:r>
      <w:r>
        <w:rPr>
          <w:rFonts w:hint="eastAsia" w:ascii="宋体" w:hAnsi="宋体" w:cs="宋体"/>
          <w:color w:val="000000"/>
          <w:sz w:val="24"/>
          <w:szCs w:val="24"/>
        </w:rPr>
        <w:t>需求的要求，系统维护服务保证系统正常运作，系统运营保证安全、稳定、高效，提供高效专业的系统咨询；乙方提供7*24服务时间，紧急需求首次响应时间4小时内，一般需求首次响应时间24小时内。2个工作日内解决。</w:t>
      </w:r>
    </w:p>
    <w:p>
      <w:pPr>
        <w:numPr>
          <w:ilvl w:val="0"/>
          <w:numId w:val="23"/>
        </w:numPr>
        <w:tabs>
          <w:tab w:val="left" w:pos="525"/>
        </w:tabs>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进度报告</w:t>
      </w:r>
    </w:p>
    <w:p>
      <w:pPr>
        <w:pStyle w:val="50"/>
        <w:widowControl w:val="0"/>
        <w:adjustRightInd w:val="0"/>
        <w:snapToGrid w:val="0"/>
        <w:spacing w:before="0" w:beforeAutospacing="0" w:after="0" w:afterAutospacing="0" w:line="360" w:lineRule="auto"/>
        <w:ind w:firstLine="420"/>
        <w:jc w:val="both"/>
        <w:rPr>
          <w:color w:val="000000"/>
        </w:rPr>
      </w:pPr>
      <w:r>
        <w:rPr>
          <w:rFonts w:hint="eastAsia"/>
          <w:color w:val="000000"/>
          <w:highlight w:val="yellow"/>
        </w:rPr>
        <w:t>乙方应于每月[十]个工作日内</w:t>
      </w:r>
      <w:r>
        <w:rPr>
          <w:rFonts w:hint="eastAsia"/>
          <w:color w:val="000000"/>
        </w:rPr>
        <w:t>以书面形式向甲方提供书面的项目阶段进度报告，内容包括：项目总体进度、本月计划执行情况、主要困难或障碍、存在风险、有无项目重大变更、项目下月计划等情况。 </w:t>
      </w:r>
    </w:p>
    <w:p>
      <w:pPr>
        <w:tabs>
          <w:tab w:val="left" w:pos="525"/>
        </w:tabs>
        <w:adjustRightInd w:val="0"/>
        <w:snapToGrid w:val="0"/>
        <w:spacing w:line="360" w:lineRule="auto"/>
        <w:rPr>
          <w:rFonts w:ascii="宋体" w:hAnsi="宋体" w:cs="宋体"/>
          <w:color w:val="000000"/>
          <w:sz w:val="24"/>
          <w:szCs w:val="24"/>
        </w:rPr>
      </w:pPr>
      <w:r>
        <w:rPr>
          <w:rFonts w:hint="eastAsia" w:ascii="宋体" w:hAnsi="宋体" w:cs="宋体"/>
          <w:color w:val="000000"/>
          <w:sz w:val="24"/>
          <w:szCs w:val="24"/>
        </w:rPr>
        <w:t>5.系统安装调试</w:t>
      </w:r>
    </w:p>
    <w:p>
      <w:pPr>
        <w:tabs>
          <w:tab w:val="left" w:pos="525"/>
        </w:tabs>
        <w:adjustRightInd w:val="0"/>
        <w:snapToGrid w:val="0"/>
        <w:spacing w:line="360" w:lineRule="auto"/>
        <w:ind w:left="420" w:firstLine="480" w:firstLineChars="200"/>
        <w:rPr>
          <w:rFonts w:ascii="宋体" w:hAnsi="宋体" w:cs="宋体"/>
          <w:color w:val="000000"/>
          <w:sz w:val="24"/>
          <w:szCs w:val="24"/>
        </w:rPr>
      </w:pPr>
      <w:r>
        <w:rPr>
          <w:rFonts w:hint="eastAsia" w:ascii="宋体" w:hAnsi="宋体" w:cs="宋体"/>
          <w:color w:val="000000"/>
          <w:sz w:val="24"/>
          <w:szCs w:val="24"/>
        </w:rPr>
        <w:t>乙方负责软件系统在甲方实际使用环境中的安装、配置和调试，确保系统上线正常运行。</w:t>
      </w:r>
    </w:p>
    <w:p>
      <w:pPr>
        <w:numPr>
          <w:ilvl w:val="0"/>
          <w:numId w:val="22"/>
        </w:numPr>
        <w:tabs>
          <w:tab w:val="left" w:pos="525"/>
        </w:tabs>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交付与系统验收</w:t>
      </w:r>
    </w:p>
    <w:p>
      <w:pPr>
        <w:numPr>
          <w:ilvl w:val="0"/>
          <w:numId w:val="26"/>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交付</w:t>
      </w:r>
    </w:p>
    <w:p>
      <w:pPr>
        <w:adjustRightInd w:val="0"/>
        <w:snapToGrid w:val="0"/>
        <w:spacing w:line="360" w:lineRule="auto"/>
        <w:ind w:firstLine="420"/>
        <w:rPr>
          <w:rFonts w:ascii="宋体" w:hAnsi="宋体" w:cs="宋体"/>
          <w:color w:val="000000"/>
          <w:sz w:val="24"/>
          <w:szCs w:val="24"/>
        </w:rPr>
      </w:pPr>
      <w:r>
        <w:rPr>
          <w:rFonts w:hint="eastAsia" w:ascii="宋体" w:hAnsi="宋体" w:cs="宋体"/>
          <w:color w:val="000000"/>
          <w:sz w:val="24"/>
          <w:szCs w:val="24"/>
        </w:rPr>
        <w:t>乙方应按照合同及其附件所约定的内容进行交付。所交付的文档与文件应当是电子或纸质版式并可供人阅读。</w:t>
      </w:r>
    </w:p>
    <w:p>
      <w:pPr>
        <w:adjustRightInd w:val="0"/>
        <w:snapToGrid w:val="0"/>
        <w:spacing w:line="360" w:lineRule="auto"/>
        <w:ind w:firstLine="420"/>
        <w:rPr>
          <w:rFonts w:ascii="宋体" w:hAnsi="宋体" w:cs="宋体"/>
          <w:color w:val="000000"/>
          <w:sz w:val="24"/>
          <w:szCs w:val="24"/>
        </w:rPr>
      </w:pPr>
      <w:r>
        <w:rPr>
          <w:rFonts w:hint="eastAsia" w:ascii="宋体" w:hAnsi="宋体" w:cs="宋体"/>
          <w:color w:val="000000"/>
          <w:sz w:val="24"/>
          <w:szCs w:val="24"/>
        </w:rPr>
        <w:t>乙方完成技术服务工作的形式：提交华侨城梦幻之城售票平台项目的需求、功能和解决程序问题的源码，并进行代码核查，上线相关功能，完成系统运营过程中提出的数据维护服务，提供解答系统运营过程提出的疑难问题的咨询规划文档。</w:t>
      </w:r>
    </w:p>
    <w:p>
      <w:pPr>
        <w:numPr>
          <w:ilvl w:val="0"/>
          <w:numId w:val="26"/>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系统验收</w:t>
      </w:r>
    </w:p>
    <w:p>
      <w:pPr>
        <w:numPr>
          <w:ilvl w:val="0"/>
          <w:numId w:val="27"/>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系统上线验收</w:t>
      </w:r>
    </w:p>
    <w:p>
      <w:pPr>
        <w:adjustRightInd w:val="0"/>
        <w:snapToGrid w:val="0"/>
        <w:spacing w:line="360" w:lineRule="auto"/>
        <w:ind w:firstLine="420"/>
        <w:rPr>
          <w:rFonts w:ascii="宋体" w:hAnsi="宋体" w:cs="宋体"/>
          <w:color w:val="000000"/>
          <w:sz w:val="24"/>
          <w:szCs w:val="24"/>
        </w:rPr>
      </w:pPr>
      <w:r>
        <w:rPr>
          <w:rFonts w:hint="eastAsia" w:ascii="宋体" w:hAnsi="宋体" w:cs="宋体"/>
          <w:color w:val="000000"/>
          <w:sz w:val="24"/>
          <w:szCs w:val="24"/>
        </w:rPr>
        <w:t>系统实现后，甲方应及时进行系统上线验收。乙方应当以书面形式向甲方递交验收通知书，甲方在收到验收通知书后的[5]个工作日内确认并组织验收，并于[10]个工作日内完成系统上线验收。上线验收标准为：满足技术说明书要求和软件相关规范。系统上线测试验收通过后，双方共同签署《上线验收报告》。</w:t>
      </w:r>
    </w:p>
    <w:p>
      <w:pPr>
        <w:numPr>
          <w:ilvl w:val="0"/>
          <w:numId w:val="27"/>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系统试运行</w:t>
      </w:r>
    </w:p>
    <w:p>
      <w:pPr>
        <w:adjustRightInd w:val="0"/>
        <w:snapToGrid w:val="0"/>
        <w:spacing w:line="360" w:lineRule="auto"/>
        <w:ind w:firstLine="420"/>
        <w:rPr>
          <w:rFonts w:ascii="宋体" w:hAnsi="宋体" w:cs="宋体"/>
          <w:color w:val="000000"/>
          <w:sz w:val="24"/>
          <w:szCs w:val="24"/>
        </w:rPr>
      </w:pPr>
      <w:r>
        <w:rPr>
          <w:rFonts w:hint="eastAsia" w:ascii="宋体" w:hAnsi="宋体" w:cs="宋体"/>
          <w:color w:val="000000"/>
          <w:sz w:val="24"/>
          <w:szCs w:val="24"/>
        </w:rPr>
        <w:t>系统上线验收通过后安排[30]天的系统试运行期。项目进度计划内的试运行期间，如果是硬件或其他环境方面的问题,甲方应及时更换或修理故障部分的设备和环境；如果是软件方面的缺陷或者问题，乙方应及时排除该缺陷或问题，由此产生的开发及维护费用，由乙方承担。</w:t>
      </w:r>
    </w:p>
    <w:p>
      <w:pPr>
        <w:numPr>
          <w:ilvl w:val="0"/>
          <w:numId w:val="27"/>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系统终验</w:t>
      </w:r>
    </w:p>
    <w:p>
      <w:pPr>
        <w:adjustRightInd w:val="0"/>
        <w:snapToGrid w:val="0"/>
        <w:spacing w:line="360" w:lineRule="auto"/>
        <w:ind w:firstLine="420"/>
        <w:rPr>
          <w:rFonts w:ascii="宋体" w:hAnsi="宋体" w:cs="宋体"/>
          <w:color w:val="000000"/>
          <w:sz w:val="24"/>
          <w:szCs w:val="24"/>
        </w:rPr>
      </w:pPr>
      <w:r>
        <w:rPr>
          <w:rFonts w:hint="eastAsia" w:ascii="宋体" w:hAnsi="宋体" w:cs="宋体"/>
          <w:color w:val="000000"/>
          <w:sz w:val="24"/>
          <w:szCs w:val="24"/>
          <w:highlight w:val="yellow"/>
        </w:rPr>
        <w:t>系统上线并试运行[30]天后，甲方应及时进行系统终验。</w:t>
      </w:r>
      <w:r>
        <w:rPr>
          <w:rFonts w:hint="eastAsia" w:ascii="宋体" w:hAnsi="宋体" w:cs="宋体"/>
          <w:color w:val="000000"/>
          <w:sz w:val="24"/>
          <w:szCs w:val="24"/>
        </w:rPr>
        <w:t>乙方应当以书面形式向甲方递交验收通知书，甲方在收到验收通知书后的[5]个工作日内确认并组织验收，并于[10]个工作日内完成系统终验。终验标准为：满足技术说明书要求和软件相关规范。系统终验合格后，双方共同签署《运行验收报告》。</w:t>
      </w:r>
    </w:p>
    <w:p>
      <w:pPr>
        <w:numPr>
          <w:ilvl w:val="0"/>
          <w:numId w:val="27"/>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如果属于乙方原因致使系统未能通过验收，乙方应当排除故障，并自行承担相关费用，同时延长实施直至系统完全符合验收标准。甲方应于乙方完成此部分开发工作后重新组织验收。如果属于下列甲方原因致使系统未能通过验收，甲方应在合理时间内排除故障，再次进行验收。归属甲方的原因包括但不限于：</w:t>
      </w:r>
    </w:p>
    <w:p>
      <w:pPr>
        <w:numPr>
          <w:ilvl w:val="0"/>
          <w:numId w:val="28"/>
        </w:numPr>
        <w:adjustRightInd w:val="0"/>
        <w:snapToGrid w:val="0"/>
        <w:spacing w:line="360" w:lineRule="auto"/>
        <w:ind w:left="0" w:firstLine="480" w:firstLineChars="200"/>
        <w:rPr>
          <w:rFonts w:ascii="宋体" w:hAnsi="宋体" w:cs="宋体"/>
          <w:color w:val="000000"/>
          <w:sz w:val="24"/>
          <w:szCs w:val="24"/>
        </w:rPr>
      </w:pPr>
      <w:r>
        <w:rPr>
          <w:rFonts w:hint="eastAsia" w:ascii="宋体" w:hAnsi="宋体" w:cs="宋体"/>
          <w:color w:val="000000"/>
          <w:sz w:val="24"/>
          <w:szCs w:val="24"/>
        </w:rPr>
        <w:t>硬件及其环境出现的故障未得到甲方及时排除；</w:t>
      </w:r>
    </w:p>
    <w:p>
      <w:pPr>
        <w:numPr>
          <w:ilvl w:val="0"/>
          <w:numId w:val="28"/>
        </w:numPr>
        <w:adjustRightInd w:val="0"/>
        <w:snapToGrid w:val="0"/>
        <w:spacing w:line="360" w:lineRule="auto"/>
        <w:ind w:left="0" w:firstLine="480" w:firstLineChars="200"/>
        <w:rPr>
          <w:rFonts w:ascii="宋体" w:hAnsi="宋体" w:cs="宋体"/>
          <w:color w:val="000000"/>
          <w:sz w:val="24"/>
          <w:szCs w:val="24"/>
        </w:rPr>
      </w:pPr>
      <w:r>
        <w:rPr>
          <w:rFonts w:hint="eastAsia" w:ascii="宋体" w:hAnsi="宋体" w:cs="宋体"/>
          <w:color w:val="000000"/>
          <w:sz w:val="24"/>
          <w:szCs w:val="24"/>
        </w:rPr>
        <w:t>甲方提供的相关需求说明、资料、信息和数据本身存在错误；</w:t>
      </w:r>
    </w:p>
    <w:p>
      <w:pPr>
        <w:numPr>
          <w:ilvl w:val="0"/>
          <w:numId w:val="28"/>
        </w:numPr>
        <w:adjustRightInd w:val="0"/>
        <w:snapToGrid w:val="0"/>
        <w:spacing w:line="360" w:lineRule="auto"/>
        <w:ind w:left="0" w:firstLine="480" w:firstLineChars="200"/>
        <w:rPr>
          <w:rFonts w:ascii="宋体" w:hAnsi="宋体" w:cs="宋体"/>
          <w:color w:val="000000"/>
          <w:sz w:val="24"/>
          <w:szCs w:val="24"/>
        </w:rPr>
      </w:pPr>
      <w:r>
        <w:rPr>
          <w:rFonts w:hint="eastAsia" w:ascii="宋体" w:hAnsi="宋体" w:cs="宋体"/>
          <w:color w:val="000000"/>
          <w:sz w:val="24"/>
          <w:szCs w:val="24"/>
        </w:rPr>
        <w:t>甲方在试运行期间，提出变更内容，而双方并未签订书面变更通知单。</w:t>
      </w:r>
    </w:p>
    <w:p>
      <w:pPr>
        <w:numPr>
          <w:ilvl w:val="0"/>
          <w:numId w:val="16"/>
        </w:numPr>
        <w:tabs>
          <w:tab w:val="left" w:pos="525"/>
        </w:tabs>
        <w:adjustRightInd w:val="0"/>
        <w:snapToGrid w:val="0"/>
        <w:spacing w:line="360" w:lineRule="auto"/>
        <w:ind w:left="0" w:firstLine="0"/>
        <w:rPr>
          <w:rFonts w:ascii="宋体" w:hAnsi="宋体" w:cs="宋体"/>
          <w:b/>
          <w:color w:val="000000"/>
          <w:sz w:val="24"/>
          <w:szCs w:val="24"/>
        </w:rPr>
      </w:pPr>
      <w:r>
        <w:rPr>
          <w:rFonts w:hint="eastAsia" w:ascii="宋体" w:hAnsi="宋体" w:cs="宋体"/>
          <w:color w:val="000000"/>
          <w:sz w:val="24"/>
          <w:szCs w:val="24"/>
        </w:rPr>
        <w:t>由甲方牵头第三方进行联调的，第三方调试及上线时间超过约定时间，从而导致乙方未能在规定时间内完成自身工作。</w:t>
      </w:r>
    </w:p>
    <w:p>
      <w:pPr>
        <w:numPr>
          <w:ilvl w:val="0"/>
          <w:numId w:val="29"/>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本合同总金额为¥</w:t>
      </w:r>
      <w:r>
        <w:rPr>
          <w:rFonts w:hint="eastAsia" w:ascii="宋体" w:hAnsi="宋体" w:cs="宋体"/>
          <w:color w:val="000000"/>
          <w:sz w:val="24"/>
          <w:szCs w:val="24"/>
          <w:u w:val="single"/>
        </w:rPr>
        <w:t xml:space="preserve">           </w:t>
      </w:r>
      <w:r>
        <w:rPr>
          <w:rFonts w:hint="eastAsia" w:ascii="宋体" w:hAnsi="宋体" w:cs="宋体"/>
          <w:color w:val="000000"/>
          <w:sz w:val="24"/>
          <w:szCs w:val="24"/>
        </w:rPr>
        <w:t>元</w:t>
      </w:r>
      <w:r>
        <w:rPr>
          <w:rFonts w:hint="eastAsia" w:ascii="宋体" w:hAnsi="宋体" w:cs="宋体"/>
          <w:sz w:val="24"/>
          <w:szCs w:val="24"/>
        </w:rPr>
        <w:t>（大写：人民币</w:t>
      </w:r>
      <w:r>
        <w:rPr>
          <w:rFonts w:hint="eastAsia" w:ascii="宋体" w:hAnsi="宋体" w:cs="宋体"/>
          <w:color w:val="000000"/>
          <w:sz w:val="24"/>
          <w:szCs w:val="24"/>
          <w:u w:val="single"/>
        </w:rPr>
        <w:t xml:space="preserve">           </w:t>
      </w:r>
      <w:r>
        <w:rPr>
          <w:rFonts w:hint="eastAsia" w:ascii="宋体" w:hAnsi="宋体" w:cs="宋体"/>
          <w:sz w:val="24"/>
          <w:szCs w:val="24"/>
        </w:rPr>
        <w:t>元整）</w:t>
      </w:r>
      <w:r>
        <w:rPr>
          <w:rFonts w:hint="eastAsia" w:ascii="宋体" w:hAnsi="宋体" w:cs="宋体"/>
          <w:color w:val="000000"/>
          <w:sz w:val="24"/>
          <w:szCs w:val="24"/>
        </w:rPr>
        <w:t>。</w:t>
      </w:r>
    </w:p>
    <w:p>
      <w:pPr>
        <w:numPr>
          <w:ilvl w:val="0"/>
          <w:numId w:val="29"/>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支付方式及条件：</w:t>
      </w:r>
    </w:p>
    <w:p>
      <w:pPr>
        <w:numPr>
          <w:ilvl w:val="0"/>
          <w:numId w:val="30"/>
        </w:numPr>
        <w:adjustRightInd w:val="0"/>
        <w:snapToGrid w:val="0"/>
        <w:spacing w:line="360" w:lineRule="auto"/>
        <w:ind w:left="-350" w:firstLine="560"/>
        <w:rPr>
          <w:rFonts w:ascii="宋体" w:hAnsi="宋体" w:cs="宋体"/>
          <w:color w:val="000000"/>
          <w:sz w:val="24"/>
          <w:szCs w:val="24"/>
          <w:highlight w:val="yellow"/>
        </w:rPr>
      </w:pPr>
      <w:r>
        <w:rPr>
          <w:rFonts w:hint="eastAsia" w:ascii="宋体" w:hAnsi="宋体" w:cs="宋体"/>
          <w:color w:val="000000"/>
          <w:sz w:val="24"/>
          <w:szCs w:val="24"/>
          <w:highlight w:val="yellow"/>
        </w:rPr>
        <w:t>第一次付款：项目完成，由甲方完成验收工作后，经双方在验收报告上签字确认，甲方在收到乙方开具的</w:t>
      </w:r>
      <w:r>
        <w:rPr>
          <w:rFonts w:hint="eastAsia" w:eastAsia="仿宋_GB2312"/>
          <w:color w:val="FF0000"/>
          <w:sz w:val="24"/>
          <w:highlight w:val="yellow"/>
        </w:rPr>
        <w:t>税率为6%的</w:t>
      </w:r>
      <w:r>
        <w:rPr>
          <w:rFonts w:eastAsia="仿宋_GB2312"/>
          <w:color w:val="FF0000"/>
          <w:sz w:val="24"/>
          <w:highlight w:val="yellow"/>
        </w:rPr>
        <w:t>增值税专用发票</w:t>
      </w:r>
      <w:r>
        <w:rPr>
          <w:rFonts w:hint="eastAsia" w:ascii="宋体" w:hAnsi="宋体" w:cs="宋体"/>
          <w:color w:val="000000"/>
          <w:sz w:val="24"/>
          <w:szCs w:val="24"/>
          <w:highlight w:val="yellow"/>
        </w:rPr>
        <w:t>后的[10]个工作日内，甲方向乙方支付合同总金额的90 % 款项，即¥</w:t>
      </w:r>
      <w:r>
        <w:rPr>
          <w:rFonts w:hint="eastAsia" w:ascii="宋体" w:hAnsi="宋体" w:cs="宋体"/>
          <w:color w:val="000000"/>
          <w:sz w:val="24"/>
          <w:szCs w:val="24"/>
          <w:highlight w:val="yellow"/>
          <w:u w:val="single"/>
        </w:rPr>
        <w:t xml:space="preserve">           </w:t>
      </w:r>
      <w:r>
        <w:rPr>
          <w:rFonts w:hint="eastAsia" w:ascii="宋体" w:hAnsi="宋体" w:cs="宋体"/>
          <w:color w:val="000000"/>
          <w:sz w:val="24"/>
          <w:szCs w:val="24"/>
          <w:highlight w:val="yellow"/>
        </w:rPr>
        <w:t>元（大写：人民币</w:t>
      </w:r>
      <w:r>
        <w:rPr>
          <w:rFonts w:hint="eastAsia" w:ascii="宋体" w:hAnsi="宋体" w:cs="宋体"/>
          <w:color w:val="000000"/>
          <w:sz w:val="24"/>
          <w:szCs w:val="24"/>
          <w:highlight w:val="yellow"/>
          <w:u w:val="single"/>
        </w:rPr>
        <w:t xml:space="preserve">           </w:t>
      </w:r>
      <w:r>
        <w:rPr>
          <w:rFonts w:hint="eastAsia" w:ascii="宋体" w:hAnsi="宋体" w:cs="宋体"/>
          <w:color w:val="000000"/>
          <w:sz w:val="24"/>
          <w:szCs w:val="24"/>
          <w:highlight w:val="yellow"/>
        </w:rPr>
        <w:t>整）。</w:t>
      </w:r>
    </w:p>
    <w:p>
      <w:pPr>
        <w:numPr>
          <w:ilvl w:val="0"/>
          <w:numId w:val="30"/>
        </w:numPr>
        <w:adjustRightInd w:val="0"/>
        <w:snapToGrid w:val="0"/>
        <w:spacing w:line="360" w:lineRule="auto"/>
        <w:ind w:left="-350" w:firstLine="560"/>
        <w:rPr>
          <w:rFonts w:ascii="宋体" w:hAnsi="宋体" w:cs="宋体"/>
          <w:color w:val="000000"/>
          <w:sz w:val="24"/>
          <w:szCs w:val="24"/>
          <w:highlight w:val="yellow"/>
        </w:rPr>
      </w:pPr>
      <w:r>
        <w:rPr>
          <w:rFonts w:hint="eastAsia" w:ascii="宋体" w:hAnsi="宋体" w:cs="宋体"/>
          <w:color w:val="000000"/>
          <w:sz w:val="24"/>
          <w:szCs w:val="24"/>
          <w:highlight w:val="yellow"/>
        </w:rPr>
        <w:t>第二次付款：在项目验收一年后，甲方在收到乙方正式发票后10个工作日内，甲方向乙方支付合同总金额的10% ，即¥</w:t>
      </w:r>
      <w:r>
        <w:rPr>
          <w:rFonts w:hint="eastAsia" w:ascii="宋体" w:hAnsi="宋体" w:cs="宋体"/>
          <w:color w:val="000000"/>
          <w:sz w:val="24"/>
          <w:szCs w:val="24"/>
          <w:highlight w:val="yellow"/>
          <w:u w:val="single"/>
        </w:rPr>
        <w:t xml:space="preserve">           </w:t>
      </w:r>
      <w:r>
        <w:rPr>
          <w:rFonts w:hint="eastAsia" w:ascii="宋体" w:hAnsi="宋体" w:cs="宋体"/>
          <w:color w:val="000000"/>
          <w:sz w:val="24"/>
          <w:szCs w:val="24"/>
          <w:highlight w:val="yellow"/>
        </w:rPr>
        <w:t>元（大写：人民币</w:t>
      </w:r>
      <w:r>
        <w:rPr>
          <w:rFonts w:hint="eastAsia" w:ascii="宋体" w:hAnsi="宋体" w:cs="宋体"/>
          <w:color w:val="000000"/>
          <w:sz w:val="24"/>
          <w:szCs w:val="24"/>
          <w:highlight w:val="yellow"/>
          <w:u w:val="single"/>
        </w:rPr>
        <w:t xml:space="preserve">           </w:t>
      </w:r>
      <w:r>
        <w:rPr>
          <w:rFonts w:hint="eastAsia" w:ascii="宋体" w:hAnsi="宋体" w:cs="宋体"/>
          <w:color w:val="000000"/>
          <w:sz w:val="24"/>
          <w:szCs w:val="24"/>
          <w:highlight w:val="yellow"/>
        </w:rPr>
        <w:t>元整）。</w:t>
      </w:r>
    </w:p>
    <w:p>
      <w:pPr>
        <w:pStyle w:val="50"/>
        <w:widowControl w:val="0"/>
        <w:numPr>
          <w:ilvl w:val="0"/>
          <w:numId w:val="30"/>
        </w:numPr>
        <w:adjustRightInd w:val="0"/>
        <w:snapToGrid w:val="0"/>
        <w:spacing w:before="0" w:beforeAutospacing="0" w:after="0" w:afterAutospacing="0" w:line="360" w:lineRule="auto"/>
        <w:ind w:left="-350" w:firstLine="560"/>
        <w:jc w:val="both"/>
        <w:rPr>
          <w:color w:val="000000"/>
        </w:rPr>
      </w:pPr>
      <w:r>
        <w:rPr>
          <w:rFonts w:hint="eastAsia"/>
          <w:color w:val="000000"/>
        </w:rPr>
        <w:t>扣除</w:t>
      </w:r>
    </w:p>
    <w:p>
      <w:pPr>
        <w:pStyle w:val="50"/>
        <w:widowControl w:val="0"/>
        <w:adjustRightInd w:val="0"/>
        <w:snapToGrid w:val="0"/>
        <w:spacing w:before="0" w:beforeAutospacing="0" w:after="0" w:afterAutospacing="0" w:line="360" w:lineRule="auto"/>
        <w:ind w:firstLine="480" w:firstLineChars="200"/>
        <w:jc w:val="both"/>
        <w:rPr>
          <w:color w:val="000000"/>
        </w:rPr>
      </w:pPr>
      <w:r>
        <w:rPr>
          <w:rFonts w:hint="eastAsia"/>
          <w:color w:val="000000"/>
        </w:rPr>
        <w:t>根据本合同的规定，如果乙方有赔偿和/或支付违约金的责任，或实际工作量减少的，则甲方有权从上述任何一笔未付款中扣除相应金额。</w:t>
      </w:r>
    </w:p>
    <w:p>
      <w:pPr>
        <w:pStyle w:val="50"/>
        <w:widowControl w:val="0"/>
        <w:numPr>
          <w:ilvl w:val="0"/>
          <w:numId w:val="30"/>
        </w:numPr>
        <w:adjustRightInd w:val="0"/>
        <w:snapToGrid w:val="0"/>
        <w:spacing w:before="0" w:beforeAutospacing="0" w:after="0" w:afterAutospacing="0" w:line="360" w:lineRule="auto"/>
        <w:ind w:left="-350" w:firstLine="560"/>
        <w:jc w:val="both"/>
        <w:rPr>
          <w:color w:val="000000"/>
        </w:rPr>
      </w:pPr>
      <w:r>
        <w:rPr>
          <w:rFonts w:hint="eastAsia"/>
          <w:b/>
          <w:bCs/>
          <w:color w:val="000000"/>
        </w:rPr>
        <w:t>乙方需向甲方提供税率为[6]%的增值税专用发票，发票名目技术服务费。</w:t>
      </w:r>
      <w:r>
        <w:rPr>
          <w:rFonts w:hint="eastAsia"/>
          <w:color w:val="000000"/>
        </w:rPr>
        <w:t>因乙方提供发票有误或发票的真实、合法、有效、及时性存在瑕疵造成甲方延迟付款的，不视为甲方违约，甲方不承担责任。</w:t>
      </w:r>
    </w:p>
    <w:p>
      <w:pPr>
        <w:numPr>
          <w:ilvl w:val="0"/>
          <w:numId w:val="29"/>
        </w:numPr>
        <w:adjustRightInd w:val="0"/>
        <w:snapToGrid w:val="0"/>
        <w:spacing w:line="360" w:lineRule="auto"/>
        <w:ind w:left="0" w:firstLine="0"/>
        <w:rPr>
          <w:rFonts w:ascii="宋体" w:hAnsi="宋体" w:cs="宋体"/>
          <w:b/>
          <w:bCs/>
          <w:color w:val="000000"/>
          <w:sz w:val="24"/>
          <w:szCs w:val="24"/>
          <w:highlight w:val="yellow"/>
        </w:rPr>
      </w:pPr>
      <w:r>
        <w:rPr>
          <w:rFonts w:hint="eastAsia" w:ascii="宋体" w:hAnsi="宋体" w:cs="宋体"/>
          <w:b/>
          <w:bCs/>
          <w:color w:val="000000"/>
          <w:sz w:val="24"/>
          <w:szCs w:val="24"/>
          <w:highlight w:val="yellow"/>
        </w:rPr>
        <w:t>付款方式：转账</w:t>
      </w:r>
    </w:p>
    <w:p>
      <w:pPr>
        <w:numPr>
          <w:ilvl w:val="0"/>
          <w:numId w:val="29"/>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关于新需求或需求变更的处理</w:t>
      </w:r>
    </w:p>
    <w:p>
      <w:pPr>
        <w:numPr>
          <w:ilvl w:val="3"/>
          <w:numId w:val="31"/>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新需求的定义：</w:t>
      </w:r>
    </w:p>
    <w:p>
      <w:pPr>
        <w:adjustRightInd w:val="0"/>
        <w:snapToGrid w:val="0"/>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①超出开发内容约定范围，并经甲、乙双方签字确认的客户提出的客户化需求。</w:t>
      </w:r>
    </w:p>
    <w:p>
      <w:pPr>
        <w:adjustRightInd w:val="0"/>
        <w:snapToGrid w:val="0"/>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②对甲方项目管理组已经甲乙双方签字确认的需求进行的变更。</w:t>
      </w:r>
    </w:p>
    <w:p>
      <w:pPr>
        <w:adjustRightInd w:val="0"/>
        <w:snapToGrid w:val="0"/>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③甲、乙双方同意对在系统上线后的推广过程中需要对系统进行客户化开发或修改。</w:t>
      </w:r>
    </w:p>
    <w:p>
      <w:pPr>
        <w:numPr>
          <w:ilvl w:val="3"/>
          <w:numId w:val="31"/>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新需求处理流程</w:t>
      </w:r>
    </w:p>
    <w:p>
      <w:pPr>
        <w:adjustRightInd w:val="0"/>
        <w:snapToGrid w:val="0"/>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双方按照以下流程和方法处理需要客户化开发的新需求及需求变更：</w:t>
      </w:r>
    </w:p>
    <w:p>
      <w:pPr>
        <w:adjustRightInd w:val="0"/>
        <w:snapToGrid w:val="0"/>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①新需求及需求变更提出：甲方项目管理组以书面形式汇总审核甲方新需求，并定期提交乙方项目组。</w:t>
      </w:r>
    </w:p>
    <w:p>
      <w:pPr>
        <w:adjustRightInd w:val="0"/>
        <w:snapToGrid w:val="0"/>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②新需求及需求变更处理方案反馈：乙方项目管理组根据甲方书面提出的具体需求进行分析，反馈解决方案、业务分析书、预估工作量、实现费用和实现新需求的可能时限和条件（包括可能需要调整的原版本计划）。</w:t>
      </w:r>
    </w:p>
    <w:p>
      <w:pPr>
        <w:adjustRightInd w:val="0"/>
        <w:snapToGrid w:val="0"/>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③新需求及需求变更开发确认：经甲、乙双方签字确认后，新需求及需求变更纳入开发计划。</w:t>
      </w:r>
    </w:p>
    <w:p>
      <w:pPr>
        <w:numPr>
          <w:ilvl w:val="3"/>
          <w:numId w:val="31"/>
        </w:numPr>
        <w:adjustRightInd w:val="0"/>
        <w:snapToGrid w:val="0"/>
        <w:spacing w:line="360" w:lineRule="auto"/>
        <w:ind w:left="0" w:firstLine="480" w:firstLineChars="200"/>
        <w:rPr>
          <w:rFonts w:ascii="宋体" w:hAnsi="宋体" w:cs="宋体"/>
          <w:color w:val="000000"/>
          <w:sz w:val="24"/>
          <w:szCs w:val="24"/>
        </w:rPr>
      </w:pPr>
      <w:r>
        <w:rPr>
          <w:rFonts w:hint="eastAsia" w:ascii="宋体" w:hAnsi="宋体" w:cs="宋体"/>
          <w:color w:val="000000"/>
          <w:sz w:val="24"/>
          <w:szCs w:val="24"/>
        </w:rPr>
        <w:t>新需求及需求变更费用的支付方式</w:t>
      </w:r>
    </w:p>
    <w:p>
      <w:pPr>
        <w:adjustRightInd w:val="0"/>
        <w:snapToGrid w:val="0"/>
        <w:spacing w:line="360" w:lineRule="auto"/>
        <w:ind w:firstLine="480" w:firstLineChars="200"/>
        <w:rPr>
          <w:rFonts w:ascii="宋体" w:hAnsi="宋体" w:cs="宋体"/>
          <w:color w:val="000000"/>
          <w:spacing w:val="5"/>
          <w:sz w:val="24"/>
          <w:szCs w:val="24"/>
        </w:rPr>
      </w:pPr>
      <w:r>
        <w:rPr>
          <w:rFonts w:hint="eastAsia" w:ascii="宋体" w:hAnsi="宋体" w:cs="宋体"/>
          <w:color w:val="000000"/>
          <w:sz w:val="24"/>
          <w:szCs w:val="24"/>
        </w:rPr>
        <w:t>费用结算标准：按照新需求及需求变更的实际工作量进行结算，开发费用和工作量计算标准参照附件三。</w:t>
      </w:r>
    </w:p>
    <w:p>
      <w:pPr>
        <w:numPr>
          <w:ilvl w:val="0"/>
          <w:numId w:val="16"/>
        </w:numPr>
        <w:tabs>
          <w:tab w:val="left" w:pos="525"/>
        </w:tabs>
        <w:adjustRightInd w:val="0"/>
        <w:snapToGrid w:val="0"/>
        <w:spacing w:line="360" w:lineRule="auto"/>
        <w:ind w:left="0" w:firstLine="0"/>
        <w:rPr>
          <w:rFonts w:ascii="宋体" w:hAnsi="宋体" w:cs="宋体"/>
          <w:b/>
          <w:color w:val="000000"/>
          <w:sz w:val="24"/>
          <w:szCs w:val="24"/>
        </w:rPr>
      </w:pPr>
      <w:r>
        <w:rPr>
          <w:rFonts w:hint="eastAsia" w:ascii="宋体" w:hAnsi="宋体" w:cs="宋体"/>
          <w:b/>
          <w:color w:val="000000"/>
          <w:sz w:val="24"/>
          <w:szCs w:val="24"/>
        </w:rPr>
        <w:t>技术情报和资料的保密事项，及后续改进的提供与分享规定：</w:t>
      </w:r>
    </w:p>
    <w:p>
      <w:pPr>
        <w:numPr>
          <w:ilvl w:val="0"/>
          <w:numId w:val="32"/>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甲乙双方有责任对技术开发中涉及的</w:t>
      </w:r>
      <w:r>
        <w:rPr>
          <w:rFonts w:hint="eastAsia" w:ascii="宋体" w:hAnsi="宋体" w:cs="宋体"/>
          <w:color w:val="000000"/>
          <w:spacing w:val="5"/>
          <w:sz w:val="24"/>
          <w:szCs w:val="24"/>
        </w:rPr>
        <w:t>商业情报、</w:t>
      </w:r>
      <w:r>
        <w:rPr>
          <w:rFonts w:hint="eastAsia" w:ascii="宋体" w:hAnsi="宋体" w:cs="宋体"/>
          <w:color w:val="000000"/>
          <w:sz w:val="24"/>
          <w:szCs w:val="24"/>
        </w:rPr>
        <w:t>技术情报及相关文档资料保密，未经对方书面允许，不得向第三方泄露。</w:t>
      </w:r>
    </w:p>
    <w:p>
      <w:pPr>
        <w:numPr>
          <w:ilvl w:val="0"/>
          <w:numId w:val="32"/>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获取对方商业秘密的一方仅可将该商业秘密用于履行其在本合同项下的义务，且只能由相关的工程技术人员使用。获取对方商业秘密的一方应当采取适当有效的方式保护所获取的商业秘密，不得未经授权使用、传播或公开商业秘密。除非有对方的书面许可，或该信息已被拥有方认为不再是商业秘密，或已在社会上公开，该商业秘密不得对外披露。</w:t>
      </w:r>
    </w:p>
    <w:p>
      <w:pPr>
        <w:numPr>
          <w:ilvl w:val="0"/>
          <w:numId w:val="32"/>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双方同意，双方均不得使用或允许第三方使用在履行本项目过程中得到的对方商业秘密，从事与对方有竞争性的业务。</w:t>
      </w:r>
    </w:p>
    <w:p>
      <w:pPr>
        <w:numPr>
          <w:ilvl w:val="0"/>
          <w:numId w:val="32"/>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涉密人员范围：</w:t>
      </w:r>
    </w:p>
    <w:p>
      <w:pPr>
        <w:adjustRightInd w:val="0"/>
        <w:snapToGrid w:val="0"/>
        <w:spacing w:line="360" w:lineRule="auto"/>
        <w:rPr>
          <w:rFonts w:ascii="宋体" w:hAnsi="宋体" w:cs="宋体"/>
          <w:color w:val="000000"/>
          <w:sz w:val="24"/>
          <w:szCs w:val="24"/>
        </w:rPr>
      </w:pPr>
      <w:r>
        <w:rPr>
          <w:rFonts w:hint="eastAsia" w:ascii="宋体" w:hAnsi="宋体" w:cs="宋体"/>
          <w:color w:val="000000"/>
          <w:sz w:val="24"/>
          <w:szCs w:val="24"/>
        </w:rPr>
        <w:t>甲方、乙方参与并知悉项目的所有工作人员。</w:t>
      </w:r>
    </w:p>
    <w:p>
      <w:pPr>
        <w:numPr>
          <w:ilvl w:val="0"/>
          <w:numId w:val="32"/>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保密期限：</w:t>
      </w:r>
    </w:p>
    <w:p>
      <w:pPr>
        <w:adjustRightInd w:val="0"/>
        <w:snapToGrid w:val="0"/>
        <w:spacing w:line="360" w:lineRule="auto"/>
        <w:rPr>
          <w:rFonts w:ascii="宋体" w:hAnsi="宋体" w:cs="宋体"/>
          <w:color w:val="000000"/>
          <w:sz w:val="24"/>
          <w:szCs w:val="24"/>
        </w:rPr>
      </w:pPr>
      <w:r>
        <w:rPr>
          <w:rFonts w:hint="eastAsia" w:ascii="宋体" w:hAnsi="宋体" w:cs="宋体"/>
          <w:color w:val="000000"/>
          <w:sz w:val="24"/>
          <w:szCs w:val="24"/>
        </w:rPr>
        <w:t>永久。</w:t>
      </w:r>
    </w:p>
    <w:p>
      <w:pPr>
        <w:numPr>
          <w:ilvl w:val="0"/>
          <w:numId w:val="32"/>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泄密责任：</w:t>
      </w:r>
    </w:p>
    <w:p>
      <w:pPr>
        <w:adjustRightInd w:val="0"/>
        <w:snapToGrid w:val="0"/>
        <w:spacing w:line="360" w:lineRule="auto"/>
        <w:rPr>
          <w:rFonts w:ascii="宋体" w:hAnsi="宋体" w:cs="宋体"/>
          <w:color w:val="000000"/>
          <w:sz w:val="24"/>
          <w:szCs w:val="24"/>
        </w:rPr>
      </w:pPr>
      <w:r>
        <w:rPr>
          <w:rFonts w:hint="eastAsia" w:ascii="宋体" w:hAnsi="宋体" w:cs="宋体"/>
          <w:color w:val="000000"/>
          <w:sz w:val="24"/>
          <w:szCs w:val="24"/>
        </w:rPr>
        <w:t>任何一方违反保密约定，需向受损方支付合同总额10 %（百分之十）的违约金，不足以弥补受损方损失的，应当另行赔偿。</w:t>
      </w:r>
    </w:p>
    <w:p>
      <w:pPr>
        <w:adjustRightInd w:val="0"/>
        <w:snapToGrid w:val="0"/>
        <w:spacing w:line="360" w:lineRule="auto"/>
        <w:rPr>
          <w:rFonts w:ascii="宋体" w:hAnsi="宋体" w:cs="宋体"/>
          <w:color w:val="000000"/>
          <w:sz w:val="24"/>
          <w:szCs w:val="24"/>
        </w:rPr>
      </w:pPr>
    </w:p>
    <w:p>
      <w:pPr>
        <w:numPr>
          <w:ilvl w:val="0"/>
          <w:numId w:val="16"/>
        </w:numPr>
        <w:tabs>
          <w:tab w:val="left" w:pos="525"/>
        </w:tabs>
        <w:adjustRightInd w:val="0"/>
        <w:snapToGrid w:val="0"/>
        <w:spacing w:line="360" w:lineRule="auto"/>
        <w:ind w:left="0" w:firstLine="0"/>
        <w:rPr>
          <w:rFonts w:ascii="宋体" w:hAnsi="宋体" w:cs="宋体"/>
          <w:b/>
          <w:color w:val="000000"/>
          <w:sz w:val="24"/>
          <w:szCs w:val="24"/>
        </w:rPr>
      </w:pPr>
      <w:r>
        <w:rPr>
          <w:rFonts w:hint="eastAsia" w:ascii="宋体" w:hAnsi="宋体" w:cs="宋体"/>
          <w:b/>
          <w:color w:val="000000"/>
          <w:sz w:val="24"/>
          <w:szCs w:val="24"/>
        </w:rPr>
        <w:t>不可抗力：</w:t>
      </w:r>
    </w:p>
    <w:p>
      <w:pPr>
        <w:numPr>
          <w:ilvl w:val="0"/>
          <w:numId w:val="33"/>
        </w:numPr>
        <w:adjustRightInd w:val="0"/>
        <w:snapToGrid w:val="0"/>
        <w:spacing w:line="360" w:lineRule="auto"/>
        <w:ind w:left="0" w:firstLine="0"/>
        <w:rPr>
          <w:rFonts w:ascii="宋体" w:hAnsi="宋体" w:cs="宋体"/>
          <w:color w:val="000000"/>
          <w:spacing w:val="5"/>
          <w:sz w:val="24"/>
          <w:szCs w:val="24"/>
        </w:rPr>
      </w:pPr>
      <w:r>
        <w:rPr>
          <w:rFonts w:hint="eastAsia" w:ascii="宋体" w:hAnsi="宋体" w:cs="宋体"/>
          <w:color w:val="000000"/>
          <w:spacing w:val="5"/>
          <w:sz w:val="24"/>
          <w:szCs w:val="24"/>
        </w:rPr>
        <w:t>由于地震、台风、水灾、火灾、战争以及其他不能预见并对其发生和后果不能预防、不能克服或避免的不可抗力（</w:t>
      </w:r>
      <w:r>
        <w:rPr>
          <w:rFonts w:hint="eastAsia" w:ascii="宋体" w:hAnsi="宋体"/>
          <w:b/>
          <w:bCs/>
          <w:sz w:val="24"/>
          <w:szCs w:val="24"/>
          <w:u w:val="single"/>
        </w:rPr>
        <w:t>根据苏建价〔2020〕20号文，因新冠肺炎疫情防控造成的损失和费用增加，适用合同不可抗力相关条款规定</w:t>
      </w:r>
      <w:r>
        <w:rPr>
          <w:rFonts w:hint="eastAsia" w:ascii="宋体" w:hAnsi="宋体" w:cs="宋体"/>
          <w:color w:val="000000"/>
          <w:spacing w:val="5"/>
          <w:sz w:val="24"/>
          <w:szCs w:val="24"/>
        </w:rPr>
        <w:t>），直接影响本合同的履行或者不能按照合同的约定履行时，遇有上述不可抗力的一方可以免除相关合同责任。但遇有上述不可抗力的一方应至迟于不可抗力事件发生之日起7个工作日内书面通知对方，并在不可抗力事件发生之日起15个工作日内提供不可抗力的详细情况及合同不能履行，或者部分不能履行，或者需要延期履行的理由和有效的证明文件。按不可抗力对履行合同影响的程度，由双方协商决定是否解除合同，或者部分免除履行合同的义务，或者延期履行合同。一方迟延履行本合同时发生不可抗力的，迟延方的合同义务不能免除。</w:t>
      </w:r>
    </w:p>
    <w:p>
      <w:pPr>
        <w:numPr>
          <w:ilvl w:val="0"/>
          <w:numId w:val="33"/>
        </w:numPr>
        <w:adjustRightInd w:val="0"/>
        <w:snapToGrid w:val="0"/>
        <w:spacing w:line="360" w:lineRule="auto"/>
        <w:ind w:left="0" w:firstLine="0"/>
        <w:rPr>
          <w:rFonts w:ascii="宋体" w:hAnsi="宋体" w:cs="宋体"/>
          <w:color w:val="000000"/>
          <w:spacing w:val="5"/>
          <w:sz w:val="24"/>
          <w:szCs w:val="24"/>
        </w:rPr>
      </w:pPr>
      <w:r>
        <w:rPr>
          <w:rFonts w:hint="eastAsia" w:ascii="宋体" w:hAnsi="宋体" w:cs="宋体"/>
          <w:color w:val="000000"/>
          <w:spacing w:val="5"/>
          <w:sz w:val="24"/>
          <w:szCs w:val="24"/>
        </w:rPr>
        <w:t>若由于不可抗力原因，甲方应向乙方提交《技术开发需求变更申请书》，乙方应在收到《技术开发需求变更申请书》之后5日内，与甲方进行技术论证和友好协商，编写并确认《技术开发需求变更说明书》，乙方负责按照《技术开发需求变更说明书》对本技术开发内容进行修改；同时，双方应重新商定技术开发计划，签订本合同的补充条款以修改本合同中有关技术开发内容、技术开发费用的相关条款。</w:t>
      </w:r>
    </w:p>
    <w:p>
      <w:pPr>
        <w:numPr>
          <w:ilvl w:val="0"/>
          <w:numId w:val="33"/>
        </w:numPr>
        <w:adjustRightInd w:val="0"/>
        <w:snapToGrid w:val="0"/>
        <w:spacing w:line="360" w:lineRule="auto"/>
        <w:ind w:left="0" w:firstLine="0"/>
        <w:rPr>
          <w:rFonts w:ascii="宋体" w:hAnsi="宋体" w:cs="宋体"/>
          <w:color w:val="000000"/>
          <w:spacing w:val="5"/>
          <w:sz w:val="24"/>
          <w:szCs w:val="24"/>
        </w:rPr>
      </w:pPr>
      <w:r>
        <w:rPr>
          <w:rFonts w:hint="eastAsia" w:ascii="宋体" w:hAnsi="宋体" w:cs="宋体"/>
          <w:spacing w:val="5"/>
          <w:sz w:val="24"/>
          <w:szCs w:val="24"/>
        </w:rPr>
        <w:t>若由于不可抗力原因，需要增加本合同所附件《华侨城梦幻之城售票平台项目技术开发说明书》所没</w:t>
      </w:r>
      <w:r>
        <w:rPr>
          <w:rFonts w:hint="eastAsia" w:ascii="宋体" w:hAnsi="宋体" w:cs="宋体"/>
          <w:color w:val="000000"/>
          <w:spacing w:val="5"/>
          <w:sz w:val="24"/>
          <w:szCs w:val="24"/>
        </w:rPr>
        <w:t>有叙述的技术开发内容，双方应进行友好协商，另行商谈和签订新的合同。</w:t>
      </w:r>
    </w:p>
    <w:p>
      <w:pPr>
        <w:numPr>
          <w:ilvl w:val="0"/>
          <w:numId w:val="33"/>
        </w:numPr>
        <w:adjustRightInd w:val="0"/>
        <w:snapToGrid w:val="0"/>
        <w:spacing w:line="360" w:lineRule="auto"/>
        <w:ind w:left="0" w:firstLine="0"/>
        <w:rPr>
          <w:rFonts w:ascii="宋体" w:hAnsi="宋体" w:cs="宋体"/>
          <w:color w:val="000000"/>
          <w:spacing w:val="5"/>
          <w:sz w:val="24"/>
          <w:szCs w:val="24"/>
        </w:rPr>
      </w:pPr>
      <w:r>
        <w:rPr>
          <w:rFonts w:hint="eastAsia" w:ascii="宋体" w:hAnsi="宋体" w:cs="宋体"/>
          <w:color w:val="000000"/>
          <w:spacing w:val="5"/>
          <w:sz w:val="24"/>
          <w:szCs w:val="24"/>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16"/>
        </w:numPr>
        <w:tabs>
          <w:tab w:val="left" w:pos="525"/>
        </w:tabs>
        <w:adjustRightInd w:val="0"/>
        <w:snapToGrid w:val="0"/>
        <w:spacing w:line="360" w:lineRule="auto"/>
        <w:ind w:left="0" w:firstLine="0"/>
        <w:rPr>
          <w:rFonts w:ascii="宋体" w:hAnsi="宋体" w:cs="宋体"/>
          <w:b/>
          <w:color w:val="000000"/>
          <w:sz w:val="24"/>
          <w:szCs w:val="24"/>
        </w:rPr>
      </w:pPr>
      <w:r>
        <w:rPr>
          <w:rFonts w:hint="eastAsia" w:ascii="宋体" w:hAnsi="宋体" w:cs="宋体"/>
          <w:b/>
          <w:color w:val="000000"/>
          <w:sz w:val="24"/>
          <w:szCs w:val="24"/>
        </w:rPr>
        <w:t>知识产权</w:t>
      </w:r>
    </w:p>
    <w:p>
      <w:pPr>
        <w:pStyle w:val="50"/>
        <w:widowControl w:val="0"/>
        <w:numPr>
          <w:ilvl w:val="0"/>
          <w:numId w:val="34"/>
        </w:numPr>
        <w:adjustRightInd w:val="0"/>
        <w:snapToGrid w:val="0"/>
        <w:spacing w:before="0" w:beforeAutospacing="0" w:after="0" w:afterAutospacing="0" w:line="360" w:lineRule="auto"/>
        <w:ind w:left="0" w:firstLine="0"/>
        <w:jc w:val="both"/>
        <w:rPr>
          <w:color w:val="000000"/>
        </w:rPr>
      </w:pPr>
      <w:r>
        <w:rPr>
          <w:rFonts w:hint="eastAsia"/>
          <w:u w:val="single"/>
        </w:rPr>
        <w:t>华侨城梦幻之城售票平台项目</w:t>
      </w:r>
      <w:r>
        <w:rPr>
          <w:rFonts w:hint="eastAsia"/>
        </w:rPr>
        <w:t>开发应用</w:t>
      </w:r>
      <w:r>
        <w:rPr>
          <w:rFonts w:hint="eastAsia"/>
          <w:color w:val="000000"/>
        </w:rPr>
        <w:t>软件的技术开发成果的所有权归甲乙双方共有。但先于本合同由乙方独立开发的任何计算机编码或资料中的所有权利应属于乙方所有。</w:t>
      </w:r>
    </w:p>
    <w:p>
      <w:pPr>
        <w:pStyle w:val="50"/>
        <w:widowControl w:val="0"/>
        <w:numPr>
          <w:ilvl w:val="0"/>
          <w:numId w:val="34"/>
        </w:numPr>
        <w:adjustRightInd w:val="0"/>
        <w:snapToGrid w:val="0"/>
        <w:spacing w:before="0" w:beforeAutospacing="0" w:after="0" w:afterAutospacing="0" w:line="360" w:lineRule="auto"/>
        <w:ind w:left="0" w:firstLine="0"/>
        <w:jc w:val="both"/>
        <w:rPr>
          <w:color w:val="000000"/>
        </w:rPr>
      </w:pPr>
      <w:r>
        <w:rPr>
          <w:rFonts w:hint="eastAsia"/>
          <w:color w:val="000000"/>
        </w:rPr>
        <w:t>乙方保证在技术开发过程中不侵犯第三方的知识产权，如发生此类问题，乙方承担一切法律责任并赔偿由此给甲方造成的直接经济损失。</w:t>
      </w:r>
    </w:p>
    <w:p>
      <w:pPr>
        <w:pStyle w:val="50"/>
        <w:numPr>
          <w:ilvl w:val="0"/>
          <w:numId w:val="34"/>
        </w:numPr>
        <w:adjustRightInd w:val="0"/>
        <w:snapToGrid w:val="0"/>
        <w:spacing w:before="0" w:beforeAutospacing="0" w:after="0" w:afterAutospacing="0" w:line="360" w:lineRule="auto"/>
        <w:ind w:left="0" w:firstLine="0"/>
        <w:jc w:val="both"/>
        <w:rPr>
          <w:color w:val="000000"/>
        </w:rPr>
      </w:pPr>
      <w:r>
        <w:rPr>
          <w:rFonts w:hint="eastAsia"/>
          <w:color w:val="000000"/>
        </w:rPr>
        <w:t>甲乙双方同意，此次项目开发所形成的相关成果，包括应用系统和技术文档归属甲方。甲方是该项成果的著作权、专利申请权、专利权、技术秘密及其他相关知识产权的所有人。乙方可以保留与开发成果相关的副本供乙方内部使用，可以为准备制作在乙方内部使用的其他产品而修改和翻译该等资料，或与其他资料结合使用，不得以任何方式提供给第三方使用。</w:t>
      </w:r>
    </w:p>
    <w:p>
      <w:pPr>
        <w:pStyle w:val="50"/>
        <w:widowControl w:val="0"/>
        <w:numPr>
          <w:ilvl w:val="0"/>
          <w:numId w:val="34"/>
        </w:numPr>
        <w:adjustRightInd w:val="0"/>
        <w:snapToGrid w:val="0"/>
        <w:spacing w:before="0" w:beforeAutospacing="0" w:after="0" w:afterAutospacing="0" w:line="360" w:lineRule="auto"/>
        <w:ind w:left="0" w:firstLine="0"/>
        <w:jc w:val="both"/>
        <w:rPr>
          <w:color w:val="000000"/>
        </w:rPr>
      </w:pPr>
      <w:r>
        <w:rPr>
          <w:rFonts w:hint="eastAsia"/>
          <w:color w:val="000000"/>
        </w:rPr>
        <w:t>本合同项下双方的任何权利和义务不因合同双方发生收购、兼并、重组、分立而发生变化。如发生上述情形之一，则本合同项下的权利和义务随之转移至收购、兼并、重组或分立之单位。如甲、乙双方在本合同项下的各项权利和义务由甲、乙双方之分立单位分别承受的，则甲、乙双方与甲、乙双方之分立单位分别享有和承担相关权利和义务。</w:t>
      </w:r>
    </w:p>
    <w:p>
      <w:pPr>
        <w:pStyle w:val="50"/>
        <w:widowControl w:val="0"/>
        <w:numPr>
          <w:ilvl w:val="0"/>
          <w:numId w:val="34"/>
        </w:numPr>
        <w:adjustRightInd w:val="0"/>
        <w:snapToGrid w:val="0"/>
        <w:spacing w:before="0" w:beforeAutospacing="0" w:after="0" w:afterAutospacing="0" w:line="360" w:lineRule="auto"/>
        <w:ind w:left="0" w:firstLine="0"/>
        <w:jc w:val="both"/>
        <w:rPr>
          <w:color w:val="000000"/>
        </w:rPr>
      </w:pPr>
      <w:r>
        <w:rPr>
          <w:rFonts w:hint="eastAsia"/>
          <w:color w:val="000000"/>
        </w:rPr>
        <w:t>甲方在领受本合同项下的软件后，应严格遵守相关的知识产权及软件版权保护的法律、法规，并在本合同所规定的范围内使用本软件。乙方因非经授权而实施的商业性复制行为构成违约或侵权责任造成对方损失的，由其承但相关责任。</w:t>
      </w:r>
    </w:p>
    <w:p>
      <w:pPr>
        <w:pStyle w:val="50"/>
        <w:widowControl w:val="0"/>
        <w:numPr>
          <w:ilvl w:val="0"/>
          <w:numId w:val="34"/>
        </w:numPr>
        <w:adjustRightInd w:val="0"/>
        <w:snapToGrid w:val="0"/>
        <w:spacing w:before="0" w:beforeAutospacing="0" w:after="0" w:afterAutospacing="0" w:line="360" w:lineRule="auto"/>
        <w:ind w:left="0" w:firstLine="0"/>
        <w:jc w:val="both"/>
        <w:rPr>
          <w:b/>
          <w:color w:val="000000"/>
        </w:rPr>
      </w:pPr>
      <w:r>
        <w:rPr>
          <w:rFonts w:hint="eastAsia"/>
          <w:color w:val="000000"/>
        </w:rPr>
        <w:t>乙方在未获得甲方允许的情况下，不得擅自修改甲方正在运行的软件；甲方自行修改软件带来的法律及经济责任后果需甲方独自承担。</w:t>
      </w:r>
    </w:p>
    <w:p>
      <w:pPr>
        <w:numPr>
          <w:ilvl w:val="0"/>
          <w:numId w:val="16"/>
        </w:numPr>
        <w:tabs>
          <w:tab w:val="left" w:pos="525"/>
        </w:tabs>
        <w:adjustRightInd w:val="0"/>
        <w:snapToGrid w:val="0"/>
        <w:spacing w:line="360" w:lineRule="auto"/>
        <w:ind w:left="0" w:firstLine="0"/>
        <w:rPr>
          <w:rFonts w:ascii="宋体" w:hAnsi="宋体" w:cs="宋体"/>
          <w:b/>
          <w:color w:val="000000"/>
          <w:sz w:val="24"/>
          <w:szCs w:val="24"/>
        </w:rPr>
      </w:pPr>
      <w:r>
        <w:rPr>
          <w:rFonts w:hint="eastAsia" w:ascii="宋体" w:hAnsi="宋体" w:cs="宋体"/>
          <w:b/>
          <w:color w:val="000000"/>
          <w:sz w:val="24"/>
          <w:szCs w:val="24"/>
        </w:rPr>
        <w:t>各方当事人的义务或协作事项及承担的责任与义务</w:t>
      </w:r>
    </w:p>
    <w:p>
      <w:pPr>
        <w:numPr>
          <w:ilvl w:val="0"/>
          <w:numId w:val="35"/>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甲方应按本合同约定向乙方支付合同费用。</w:t>
      </w:r>
    </w:p>
    <w:p>
      <w:pPr>
        <w:numPr>
          <w:ilvl w:val="0"/>
          <w:numId w:val="35"/>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甲方应按本合同约定向乙方提供各种配合条件，指派相应的管理人员、技术人员参加需求分析、系统安装、系统测试、技术指导和其它辅助工作。</w:t>
      </w:r>
    </w:p>
    <w:p>
      <w:pPr>
        <w:numPr>
          <w:ilvl w:val="0"/>
          <w:numId w:val="35"/>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乙方应按照本合同所</w:t>
      </w:r>
      <w:r>
        <w:rPr>
          <w:rFonts w:hint="eastAsia" w:ascii="宋体" w:hAnsi="宋体" w:cs="宋体"/>
          <w:sz w:val="24"/>
          <w:szCs w:val="24"/>
        </w:rPr>
        <w:t>附件《华侨城梦幻之城售票平台项目技术开发说明书》的要</w:t>
      </w:r>
      <w:r>
        <w:rPr>
          <w:rFonts w:hint="eastAsia" w:ascii="宋体" w:hAnsi="宋体" w:cs="宋体"/>
          <w:color w:val="000000"/>
          <w:sz w:val="24"/>
          <w:szCs w:val="24"/>
        </w:rPr>
        <w:t>求，如期完成和交付开发软件（正版的系统软件和其拥有自主知识产权的业务应用系统），并向甲方提供开发软件相应的文档资料。</w:t>
      </w:r>
    </w:p>
    <w:p>
      <w:pPr>
        <w:numPr>
          <w:ilvl w:val="0"/>
          <w:numId w:val="35"/>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若本合同其它条款明文规定乙方需在甲方指定的地点进行技术开发，甲方应按照本合同所附或双方稍后商定的《技术开发环境要求说明书》准备环境（包括，办公场地准备、通讯设备准备、计算机系统设备准备、计算机环境准备等）。若甲方未能按时按照《技术开发环境要求说明书》完成环境的准备，乙方有权顺延开发时间进度。</w:t>
      </w:r>
    </w:p>
    <w:p>
      <w:pPr>
        <w:numPr>
          <w:ilvl w:val="0"/>
          <w:numId w:val="35"/>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乙方保证在技术开发过程中不使用非法的第三方工具、开源软件、组件等如发生此类问题，乙方承担一切法律责任并赔偿由此给甲方造成的直接经济损失。</w:t>
      </w:r>
    </w:p>
    <w:p>
      <w:pPr>
        <w:numPr>
          <w:ilvl w:val="0"/>
          <w:numId w:val="35"/>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乙方保证在技术开发过程中使用的第三方工具、开源软件、组件等的安全性，并针对相关工具、软件、组件的最新漏洞进行相应的修复；</w:t>
      </w:r>
    </w:p>
    <w:p>
      <w:pPr>
        <w:numPr>
          <w:ilvl w:val="0"/>
          <w:numId w:val="35"/>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本合同所需设备均由甲方提供。</w:t>
      </w:r>
    </w:p>
    <w:p>
      <w:pPr>
        <w:numPr>
          <w:ilvl w:val="0"/>
          <w:numId w:val="35"/>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未经甲方同意，乙方不得将本合同项下的系统项目转包或分包给其他方。</w:t>
      </w:r>
    </w:p>
    <w:p>
      <w:pPr>
        <w:numPr>
          <w:ilvl w:val="0"/>
          <w:numId w:val="35"/>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乙方需确保合同涉及系统在合同规定期限内的稳定运行；对系统故障、系统缺陷、以及甲方数据维护需求及时响应，及时处理；对于未能在合同要求期限内完成的系统故障和系统缺陷的修复以及甲方数据维护需求调整的需承担本合同第十一条第6款约定的违约责任；</w:t>
      </w:r>
    </w:p>
    <w:p>
      <w:pPr>
        <w:numPr>
          <w:ilvl w:val="0"/>
          <w:numId w:val="36"/>
        </w:numPr>
        <w:adjustRightInd w:val="0"/>
        <w:snapToGrid w:val="0"/>
        <w:spacing w:line="360" w:lineRule="auto"/>
        <w:ind w:left="0" w:firstLine="480" w:firstLineChars="200"/>
        <w:rPr>
          <w:rFonts w:ascii="宋体" w:hAnsi="宋体" w:cs="宋体"/>
          <w:color w:val="000000"/>
          <w:sz w:val="24"/>
          <w:szCs w:val="24"/>
        </w:rPr>
      </w:pPr>
      <w:r>
        <w:rPr>
          <w:rFonts w:hint="eastAsia" w:ascii="宋体" w:hAnsi="宋体" w:cs="宋体"/>
          <w:color w:val="000000"/>
          <w:sz w:val="24"/>
          <w:szCs w:val="24"/>
        </w:rPr>
        <w:t>系统故障修复要求：从故障发生之时起1个工作日内完成修复，如不能完成需书面或电子邮件说明详细情况和计划修复周期，并得到甲方确认；</w:t>
      </w:r>
    </w:p>
    <w:p>
      <w:pPr>
        <w:numPr>
          <w:ilvl w:val="0"/>
          <w:numId w:val="36"/>
        </w:numPr>
        <w:adjustRightInd w:val="0"/>
        <w:snapToGrid w:val="0"/>
        <w:spacing w:line="360" w:lineRule="auto"/>
        <w:ind w:left="0" w:firstLine="480" w:firstLineChars="200"/>
        <w:rPr>
          <w:rFonts w:ascii="宋体" w:hAnsi="宋体" w:cs="宋体"/>
          <w:color w:val="000000"/>
          <w:sz w:val="24"/>
          <w:szCs w:val="24"/>
        </w:rPr>
      </w:pPr>
      <w:r>
        <w:rPr>
          <w:rFonts w:hint="eastAsia" w:ascii="宋体" w:hAnsi="宋体" w:cs="宋体"/>
          <w:color w:val="000000"/>
          <w:sz w:val="24"/>
          <w:szCs w:val="24"/>
        </w:rPr>
        <w:t>系统缺陷修复要求：从缺陷单发出之日起10个工作日内完成修复，如不能完成需书面或电子邮件说明详细情况和计划修复周期，并得到甲方确认；</w:t>
      </w:r>
    </w:p>
    <w:p>
      <w:pPr>
        <w:numPr>
          <w:ilvl w:val="0"/>
          <w:numId w:val="36"/>
        </w:numPr>
        <w:adjustRightInd w:val="0"/>
        <w:snapToGrid w:val="0"/>
        <w:spacing w:line="360" w:lineRule="auto"/>
        <w:ind w:left="0" w:firstLine="480" w:firstLineChars="200"/>
        <w:rPr>
          <w:rFonts w:ascii="宋体" w:hAnsi="宋体" w:cs="宋体"/>
          <w:color w:val="000000"/>
          <w:sz w:val="24"/>
          <w:szCs w:val="24"/>
        </w:rPr>
      </w:pPr>
      <w:r>
        <w:rPr>
          <w:rFonts w:hint="eastAsia" w:ascii="宋体" w:hAnsi="宋体" w:cs="宋体"/>
          <w:color w:val="000000"/>
          <w:sz w:val="24"/>
          <w:szCs w:val="24"/>
        </w:rPr>
        <w:t>数据维护需求要求：从数据维护单发出之日起2个工作日内完成调整。</w:t>
      </w:r>
    </w:p>
    <w:p>
      <w:pPr>
        <w:adjustRightInd w:val="0"/>
        <w:snapToGrid w:val="0"/>
        <w:spacing w:line="360" w:lineRule="auto"/>
        <w:ind w:left="480"/>
        <w:rPr>
          <w:rFonts w:ascii="宋体" w:hAnsi="宋体" w:cs="宋体"/>
          <w:color w:val="000000"/>
          <w:sz w:val="24"/>
          <w:szCs w:val="24"/>
        </w:rPr>
      </w:pPr>
    </w:p>
    <w:p>
      <w:pPr>
        <w:numPr>
          <w:ilvl w:val="0"/>
          <w:numId w:val="16"/>
        </w:numPr>
        <w:tabs>
          <w:tab w:val="left" w:pos="525"/>
        </w:tabs>
        <w:adjustRightInd w:val="0"/>
        <w:snapToGrid w:val="0"/>
        <w:spacing w:line="360" w:lineRule="auto"/>
        <w:ind w:left="0" w:firstLine="0"/>
        <w:rPr>
          <w:rFonts w:ascii="宋体" w:hAnsi="宋体" w:cs="宋体"/>
          <w:b/>
          <w:color w:val="000000"/>
          <w:sz w:val="24"/>
          <w:szCs w:val="24"/>
        </w:rPr>
      </w:pPr>
      <w:r>
        <w:rPr>
          <w:rFonts w:hint="eastAsia" w:ascii="宋体" w:hAnsi="宋体" w:cs="宋体"/>
          <w:b/>
          <w:color w:val="000000"/>
          <w:sz w:val="24"/>
          <w:szCs w:val="24"/>
        </w:rPr>
        <w:t>工作量核实标准和方法：</w:t>
      </w:r>
    </w:p>
    <w:p>
      <w:pPr>
        <w:numPr>
          <w:ilvl w:val="0"/>
          <w:numId w:val="37"/>
        </w:numPr>
        <w:adjustRightInd w:val="0"/>
        <w:snapToGrid w:val="0"/>
        <w:spacing w:line="360" w:lineRule="auto"/>
        <w:ind w:left="0" w:firstLine="0"/>
        <w:rPr>
          <w:rFonts w:ascii="宋体" w:hAnsi="宋体" w:cs="宋体"/>
          <w:sz w:val="24"/>
          <w:szCs w:val="24"/>
        </w:rPr>
      </w:pPr>
      <w:r>
        <w:rPr>
          <w:rFonts w:hint="eastAsia" w:ascii="宋体" w:hAnsi="宋体" w:cs="宋体"/>
          <w:color w:val="000000"/>
          <w:sz w:val="24"/>
          <w:szCs w:val="24"/>
        </w:rPr>
        <w:t>标准：</w:t>
      </w:r>
      <w:r>
        <w:rPr>
          <w:rFonts w:hint="eastAsia" w:ascii="宋体" w:hAnsi="宋体" w:cs="宋体"/>
          <w:sz w:val="24"/>
          <w:szCs w:val="24"/>
        </w:rPr>
        <w:t>按照本合同所附件《华侨城梦幻之城售票平台项目技术开发说明书》所叙述的技术开发功能，以及在技术开发过程中所补充商定并确认的《技术开发需求变更说明书》所叙述的技术开发功能要求为基础进行工作量核实。</w:t>
      </w:r>
    </w:p>
    <w:p>
      <w:pPr>
        <w:numPr>
          <w:ilvl w:val="0"/>
          <w:numId w:val="37"/>
        </w:numPr>
        <w:adjustRightInd w:val="0"/>
        <w:snapToGrid w:val="0"/>
        <w:spacing w:line="360" w:lineRule="auto"/>
        <w:ind w:left="0" w:firstLine="0"/>
        <w:rPr>
          <w:rFonts w:ascii="宋体" w:hAnsi="宋体" w:cs="宋体"/>
          <w:color w:val="000000"/>
          <w:spacing w:val="5"/>
          <w:sz w:val="24"/>
          <w:szCs w:val="24"/>
        </w:rPr>
      </w:pPr>
      <w:r>
        <w:rPr>
          <w:rFonts w:hint="eastAsia" w:ascii="宋体" w:hAnsi="宋体" w:cs="宋体"/>
          <w:sz w:val="24"/>
          <w:szCs w:val="24"/>
        </w:rPr>
        <w:t>乙方在完成系统调测后需得到甲方全面的应用测试和认可，对于不合理或达不</w:t>
      </w:r>
      <w:r>
        <w:rPr>
          <w:rFonts w:hint="eastAsia" w:ascii="宋体" w:hAnsi="宋体" w:cs="宋体"/>
          <w:color w:val="000000"/>
          <w:sz w:val="24"/>
          <w:szCs w:val="24"/>
        </w:rPr>
        <w:t>到甲方使用要求的，乙方必须根据甲方提出的意见和建议进行修改和调整，直至甲方满意后方可签工作量核实单。在附件三约定的工作清单内，为满足验收条件带来的修改和调整工作量不另外收费。</w:t>
      </w:r>
    </w:p>
    <w:p>
      <w:pPr>
        <w:numPr>
          <w:ilvl w:val="0"/>
          <w:numId w:val="16"/>
        </w:numPr>
        <w:tabs>
          <w:tab w:val="left" w:pos="525"/>
        </w:tabs>
        <w:adjustRightInd w:val="0"/>
        <w:snapToGrid w:val="0"/>
        <w:spacing w:line="360" w:lineRule="auto"/>
        <w:ind w:left="0" w:firstLine="0"/>
        <w:rPr>
          <w:rFonts w:ascii="宋体" w:hAnsi="宋体" w:cs="宋体"/>
          <w:b/>
          <w:color w:val="000000"/>
          <w:sz w:val="24"/>
          <w:szCs w:val="24"/>
        </w:rPr>
      </w:pPr>
      <w:r>
        <w:rPr>
          <w:rFonts w:hint="eastAsia" w:ascii="宋体" w:hAnsi="宋体" w:cs="宋体"/>
          <w:b/>
          <w:color w:val="000000"/>
          <w:sz w:val="24"/>
          <w:szCs w:val="24"/>
        </w:rPr>
        <w:t>违约金或者损失赔偿的计算方法：</w:t>
      </w:r>
    </w:p>
    <w:p>
      <w:pPr>
        <w:pStyle w:val="22"/>
        <w:numPr>
          <w:ilvl w:val="1"/>
          <w:numId w:val="38"/>
        </w:numPr>
        <w:adjustRightInd w:val="0"/>
        <w:snapToGrid w:val="0"/>
        <w:spacing w:line="360" w:lineRule="auto"/>
        <w:ind w:left="0" w:firstLine="0"/>
        <w:rPr>
          <w:rFonts w:ascii="宋体" w:hAnsi="宋体" w:eastAsia="宋体" w:cs="宋体"/>
          <w:sz w:val="24"/>
        </w:rPr>
      </w:pPr>
      <w:r>
        <w:rPr>
          <w:rFonts w:hint="eastAsia" w:ascii="宋体" w:hAnsi="宋体" w:eastAsia="宋体" w:cs="宋体"/>
          <w:sz w:val="24"/>
        </w:rPr>
        <w:t>付款违约</w:t>
      </w:r>
    </w:p>
    <w:p>
      <w:pPr>
        <w:numPr>
          <w:ilvl w:val="1"/>
          <w:numId w:val="39"/>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如甲方未按合同约定的期限和金额付款，则自本合同约定的付款之日起，每延期1天，甲方应向乙方支付逾期付款金额1‰的违约金，但违约金的总数不超过合同总价的5％；</w:t>
      </w:r>
    </w:p>
    <w:p>
      <w:pPr>
        <w:numPr>
          <w:ilvl w:val="1"/>
          <w:numId w:val="39"/>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如延期时间超过60天，乙方有权终止合同，除前款所约定的违约金外，乙方还可要求甲方支付合同总价的5％作为对乙方的赔偿；</w:t>
      </w:r>
    </w:p>
    <w:p>
      <w:pPr>
        <w:numPr>
          <w:ilvl w:val="1"/>
          <w:numId w:val="39"/>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如合同继续履行，甲方除支付上述违约金外，仍应按照合同规定的金额付款，乙方履行本合同的日期相应顺延；</w:t>
      </w:r>
    </w:p>
    <w:p>
      <w:pPr>
        <w:numPr>
          <w:ilvl w:val="1"/>
          <w:numId w:val="39"/>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如乙方选择终止合同，甲方应在两个星期内按已交付和已完成的软件的价格向乙方付款。甲方付款后，乙方应向甲方交付已付款的软件。甲方如要在以后使用所接受的软件，仍应按照本合同的规定使用。</w:t>
      </w:r>
    </w:p>
    <w:p>
      <w:pPr>
        <w:pStyle w:val="22"/>
        <w:numPr>
          <w:ilvl w:val="1"/>
          <w:numId w:val="38"/>
        </w:numPr>
        <w:adjustRightInd w:val="0"/>
        <w:snapToGrid w:val="0"/>
        <w:spacing w:line="360" w:lineRule="auto"/>
        <w:ind w:left="0" w:firstLine="0"/>
        <w:rPr>
          <w:rFonts w:ascii="宋体" w:hAnsi="宋体" w:eastAsia="宋体" w:cs="宋体"/>
          <w:sz w:val="24"/>
        </w:rPr>
      </w:pPr>
      <w:r>
        <w:rPr>
          <w:rFonts w:hint="eastAsia" w:ascii="宋体" w:hAnsi="宋体" w:eastAsia="宋体" w:cs="宋体"/>
          <w:sz w:val="24"/>
        </w:rPr>
        <w:t>甲方违反本合同约定的知识产权义务的，应向乙方按本合同总价的5％支付违约金，如甲方因此获得收益的，除支付上述违约金外，甲方还应向乙方支付与所获得收益相同金额的违约金。如对乙方造成实际损失的，乙方有权要求甲方赔偿超过违约金部分的损失。</w:t>
      </w:r>
    </w:p>
    <w:p>
      <w:pPr>
        <w:pStyle w:val="22"/>
        <w:numPr>
          <w:ilvl w:val="1"/>
          <w:numId w:val="38"/>
        </w:numPr>
        <w:adjustRightInd w:val="0"/>
        <w:snapToGrid w:val="0"/>
        <w:spacing w:line="360" w:lineRule="auto"/>
        <w:ind w:left="0" w:firstLine="0"/>
        <w:rPr>
          <w:rFonts w:ascii="宋体" w:hAnsi="宋体" w:eastAsia="宋体" w:cs="宋体"/>
          <w:sz w:val="24"/>
        </w:rPr>
      </w:pPr>
      <w:r>
        <w:rPr>
          <w:rFonts w:hint="eastAsia" w:ascii="宋体" w:hAnsi="宋体" w:eastAsia="宋体" w:cs="宋体"/>
          <w:sz w:val="24"/>
        </w:rPr>
        <w:t>交付违约</w:t>
      </w:r>
    </w:p>
    <w:p>
      <w:pPr>
        <w:numPr>
          <w:ilvl w:val="0"/>
          <w:numId w:val="40"/>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如乙方未按合同约定的期限交付项目，则自项目应完成之日起，每延期1天，乙方应向甲方支付延期完成部分的本合同相应款项的1‰的违约金，但违约金的总数不超过合同总价的5％；</w:t>
      </w:r>
    </w:p>
    <w:p>
      <w:pPr>
        <w:numPr>
          <w:ilvl w:val="0"/>
          <w:numId w:val="40"/>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如延期时间超过30天，甲方有权终止合同，除前款所约定的违约金外，甲方还可要求乙方支付合同总价的5％作为对乙方的赔偿；</w:t>
      </w:r>
    </w:p>
    <w:p>
      <w:pPr>
        <w:numPr>
          <w:ilvl w:val="0"/>
          <w:numId w:val="40"/>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如合同继续履行，乙方除支付上述违约金外，仍应按照合同规定的时间交付，甲方履行本合同的日期相应顺延；</w:t>
      </w:r>
    </w:p>
    <w:p>
      <w:pPr>
        <w:pStyle w:val="22"/>
        <w:numPr>
          <w:ilvl w:val="1"/>
          <w:numId w:val="38"/>
        </w:numPr>
        <w:adjustRightInd w:val="0"/>
        <w:snapToGrid w:val="0"/>
        <w:spacing w:line="360" w:lineRule="auto"/>
        <w:ind w:left="0" w:firstLine="0"/>
        <w:rPr>
          <w:rFonts w:ascii="宋体" w:hAnsi="宋体" w:eastAsia="宋体" w:cs="宋体"/>
          <w:sz w:val="24"/>
        </w:rPr>
      </w:pPr>
      <w:r>
        <w:rPr>
          <w:rFonts w:hint="eastAsia" w:ascii="宋体" w:hAnsi="宋体" w:eastAsia="宋体" w:cs="宋体"/>
          <w:color w:val="000000"/>
          <w:sz w:val="24"/>
        </w:rPr>
        <w:t>如甲方选择终止合同，甲方付款后，乙方应向甲方交付已付款的软件。甲方如要在以</w:t>
      </w:r>
      <w:r>
        <w:rPr>
          <w:rFonts w:hint="eastAsia" w:ascii="宋体" w:hAnsi="宋体" w:eastAsia="宋体" w:cs="宋体"/>
          <w:sz w:val="24"/>
        </w:rPr>
        <w:t>后使用所接受的软件，仍应按照本合同的规定使用。</w:t>
      </w:r>
    </w:p>
    <w:p>
      <w:pPr>
        <w:pStyle w:val="22"/>
        <w:numPr>
          <w:ilvl w:val="1"/>
          <w:numId w:val="38"/>
        </w:numPr>
        <w:adjustRightInd w:val="0"/>
        <w:snapToGrid w:val="0"/>
        <w:spacing w:line="360" w:lineRule="auto"/>
        <w:ind w:left="0" w:firstLine="0"/>
        <w:rPr>
          <w:rFonts w:ascii="宋体" w:hAnsi="宋体" w:eastAsia="宋体" w:cs="宋体"/>
          <w:color w:val="000000"/>
          <w:sz w:val="24"/>
        </w:rPr>
      </w:pPr>
      <w:r>
        <w:rPr>
          <w:rFonts w:hint="eastAsia" w:ascii="宋体" w:hAnsi="宋体" w:eastAsia="宋体" w:cs="宋体"/>
          <w:color w:val="000000"/>
          <w:sz w:val="24"/>
        </w:rPr>
        <w:t>乙方违反本合同约定的知识产权义务的，应向甲方按本合同总价的5％支付违约金，如乙方因此获得收益的，除支付上述违约金外，乙方还应向甲方支付与所获得收益相同金额的违约金。如对甲方造成实际损失的，甲方有权要求乙方赔偿超过违约金部分的损失。</w:t>
      </w:r>
    </w:p>
    <w:p>
      <w:pPr>
        <w:pStyle w:val="22"/>
        <w:numPr>
          <w:ilvl w:val="1"/>
          <w:numId w:val="38"/>
        </w:numPr>
        <w:adjustRightInd w:val="0"/>
        <w:snapToGrid w:val="0"/>
        <w:spacing w:line="360" w:lineRule="auto"/>
        <w:ind w:left="0" w:firstLine="0"/>
        <w:rPr>
          <w:rFonts w:ascii="宋体" w:hAnsi="宋体" w:eastAsia="宋体" w:cs="宋体"/>
          <w:color w:val="000000"/>
          <w:sz w:val="24"/>
        </w:rPr>
      </w:pPr>
      <w:r>
        <w:rPr>
          <w:rFonts w:hint="eastAsia" w:ascii="宋体" w:hAnsi="宋体" w:eastAsia="宋体" w:cs="宋体"/>
          <w:color w:val="000000"/>
          <w:sz w:val="24"/>
        </w:rPr>
        <w:t>乙方应在合同第九条第9款要求的期限内完成的系统故障和系统缺陷的修复以及甲方数据维护需求调整，对未按合同要求及时完成且未提供合理书面说明的，每发生一起应向甲方支付合同总金额1%的违约金。</w:t>
      </w:r>
    </w:p>
    <w:p>
      <w:pPr>
        <w:pStyle w:val="22"/>
        <w:adjustRightInd w:val="0"/>
        <w:snapToGrid w:val="0"/>
        <w:spacing w:line="360" w:lineRule="auto"/>
        <w:rPr>
          <w:rFonts w:ascii="宋体" w:hAnsi="宋体" w:eastAsia="宋体" w:cs="宋体"/>
          <w:sz w:val="24"/>
        </w:rPr>
      </w:pPr>
      <w:r>
        <w:rPr>
          <w:rFonts w:hint="eastAsia" w:ascii="宋体" w:hAnsi="宋体" w:eastAsia="宋体" w:cs="宋体"/>
          <w:color w:val="000000"/>
          <w:sz w:val="24"/>
        </w:rPr>
        <w:t>7.因乙方原因导致甲方系统发生故障的，由乙方承担甲方实际损失，具体金额由甲乙双方协商解决。</w:t>
      </w:r>
    </w:p>
    <w:p>
      <w:pPr>
        <w:pStyle w:val="40"/>
        <w:spacing w:before="0" w:after="0" w:line="360" w:lineRule="auto"/>
        <w:rPr>
          <w:rFonts w:ascii="宋体" w:hAnsi="宋体" w:eastAsia="宋体" w:cs="宋体"/>
          <w:sz w:val="24"/>
          <w:szCs w:val="24"/>
        </w:rPr>
      </w:pPr>
    </w:p>
    <w:p>
      <w:pPr>
        <w:pStyle w:val="22"/>
        <w:numPr>
          <w:ilvl w:val="0"/>
          <w:numId w:val="41"/>
        </w:numPr>
        <w:adjustRightInd w:val="0"/>
        <w:snapToGrid w:val="0"/>
        <w:spacing w:line="360" w:lineRule="auto"/>
        <w:rPr>
          <w:rFonts w:ascii="宋体" w:hAnsi="宋体" w:eastAsia="宋体" w:cs="宋体"/>
          <w:b/>
          <w:color w:val="000000"/>
          <w:sz w:val="24"/>
        </w:rPr>
      </w:pPr>
      <w:r>
        <w:rPr>
          <w:rFonts w:hint="eastAsia" w:ascii="宋体" w:hAnsi="宋体" w:eastAsia="宋体" w:cs="宋体"/>
          <w:b/>
          <w:color w:val="000000"/>
          <w:sz w:val="24"/>
        </w:rPr>
        <w:t>争议的解决办法：</w:t>
      </w:r>
    </w:p>
    <w:p>
      <w:pPr>
        <w:numPr>
          <w:ilvl w:val="0"/>
          <w:numId w:val="42"/>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一切由执行合同引起或者与合同有关的争端，均应通过双方友好协商解决，通过友好协商不能解决的争端，双方可以向甲方所在地有管辖权的人民法院提起诉讼。</w:t>
      </w:r>
    </w:p>
    <w:p>
      <w:pPr>
        <w:numPr>
          <w:ilvl w:val="0"/>
          <w:numId w:val="42"/>
        </w:numPr>
        <w:adjustRightInd w:val="0"/>
        <w:snapToGrid w:val="0"/>
        <w:spacing w:line="360" w:lineRule="auto"/>
        <w:ind w:left="0" w:firstLine="0"/>
        <w:rPr>
          <w:rFonts w:ascii="宋体" w:hAnsi="宋体" w:cs="宋体"/>
          <w:color w:val="000000"/>
          <w:sz w:val="24"/>
          <w:szCs w:val="24"/>
        </w:rPr>
      </w:pPr>
      <w:r>
        <w:rPr>
          <w:rFonts w:hint="eastAsia" w:ascii="宋体" w:hAnsi="宋体" w:cs="宋体"/>
          <w:color w:val="000000"/>
          <w:sz w:val="24"/>
          <w:szCs w:val="24"/>
        </w:rPr>
        <w:t>除争议处理期间正在审理的部分以外，双方应继续执行合同的其余部分。</w:t>
      </w:r>
    </w:p>
    <w:p>
      <w:pPr>
        <w:numPr>
          <w:ilvl w:val="0"/>
          <w:numId w:val="42"/>
        </w:numPr>
        <w:adjustRightInd w:val="0"/>
        <w:snapToGrid w:val="0"/>
        <w:spacing w:line="360" w:lineRule="auto"/>
        <w:ind w:left="0" w:firstLine="0"/>
        <w:rPr>
          <w:rFonts w:ascii="宋体" w:hAnsi="宋体" w:cs="宋体"/>
          <w:b/>
          <w:color w:val="000000"/>
          <w:sz w:val="24"/>
          <w:szCs w:val="24"/>
        </w:rPr>
      </w:pPr>
      <w:r>
        <w:rPr>
          <w:rFonts w:hint="eastAsia" w:ascii="宋体" w:hAnsi="宋体" w:cs="宋体"/>
          <w:color w:val="000000"/>
          <w:sz w:val="24"/>
          <w:szCs w:val="24"/>
        </w:rPr>
        <w:t>本合同适用于中华人民共和国法律。</w:t>
      </w:r>
    </w:p>
    <w:p>
      <w:pPr>
        <w:adjustRightInd w:val="0"/>
        <w:snapToGrid w:val="0"/>
        <w:spacing w:line="360" w:lineRule="auto"/>
        <w:rPr>
          <w:rFonts w:ascii="宋体" w:hAnsi="宋体" w:cs="宋体"/>
          <w:b/>
          <w:color w:val="000000"/>
          <w:sz w:val="24"/>
          <w:szCs w:val="24"/>
        </w:rPr>
      </w:pPr>
    </w:p>
    <w:p>
      <w:pPr>
        <w:numPr>
          <w:ilvl w:val="0"/>
          <w:numId w:val="43"/>
        </w:numPr>
        <w:tabs>
          <w:tab w:val="left" w:pos="525"/>
        </w:tabs>
        <w:adjustRightInd w:val="0"/>
        <w:snapToGrid w:val="0"/>
        <w:spacing w:line="360" w:lineRule="auto"/>
        <w:ind w:left="0" w:firstLine="0"/>
        <w:rPr>
          <w:rFonts w:ascii="宋体" w:hAnsi="宋体" w:cs="宋体"/>
          <w:b/>
          <w:color w:val="000000"/>
          <w:sz w:val="24"/>
          <w:szCs w:val="24"/>
        </w:rPr>
      </w:pPr>
      <w:r>
        <w:rPr>
          <w:rFonts w:hint="eastAsia" w:ascii="宋体" w:hAnsi="宋体" w:cs="宋体"/>
          <w:b/>
          <w:color w:val="000000"/>
          <w:sz w:val="24"/>
          <w:szCs w:val="24"/>
        </w:rPr>
        <w:t>其它：</w:t>
      </w:r>
    </w:p>
    <w:p>
      <w:pPr>
        <w:pStyle w:val="50"/>
        <w:widowControl w:val="0"/>
        <w:numPr>
          <w:ilvl w:val="0"/>
          <w:numId w:val="44"/>
        </w:numPr>
        <w:adjustRightInd w:val="0"/>
        <w:snapToGrid w:val="0"/>
        <w:spacing w:before="0" w:beforeAutospacing="0" w:after="0" w:afterAutospacing="0" w:line="360" w:lineRule="auto"/>
        <w:ind w:left="0" w:firstLine="0"/>
        <w:jc w:val="both"/>
        <w:rPr>
          <w:color w:val="000000"/>
        </w:rPr>
      </w:pPr>
      <w:r>
        <w:rPr>
          <w:rFonts w:hint="eastAsia"/>
          <w:color w:val="000000"/>
          <w:spacing w:val="5"/>
        </w:rPr>
        <w:t>本合同正本一式六份，甲方三份，乙方三份。</w:t>
      </w:r>
      <w:r>
        <w:rPr>
          <w:rFonts w:hint="eastAsia"/>
          <w:spacing w:val="5"/>
        </w:rPr>
        <w:t>自双方加盖公章，法定代表人或代理人签字起生效，均具有同等法律效力。</w:t>
      </w:r>
      <w:r>
        <w:rPr>
          <w:rFonts w:hint="eastAsia"/>
          <w:color w:val="000000"/>
        </w:rPr>
        <w:t>本合同于双方各自履行了合同的全部义务，包括项目验收合格且乙方运营服务期届满后终止。</w:t>
      </w:r>
    </w:p>
    <w:p>
      <w:pPr>
        <w:pStyle w:val="50"/>
        <w:widowControl w:val="0"/>
        <w:numPr>
          <w:ilvl w:val="0"/>
          <w:numId w:val="44"/>
        </w:numPr>
        <w:adjustRightInd w:val="0"/>
        <w:snapToGrid w:val="0"/>
        <w:spacing w:before="0" w:beforeAutospacing="0" w:after="0" w:afterAutospacing="0" w:line="360" w:lineRule="auto"/>
        <w:ind w:left="0" w:firstLine="0"/>
        <w:jc w:val="both"/>
        <w:rPr>
          <w:color w:val="000000"/>
          <w:spacing w:val="5"/>
        </w:rPr>
      </w:pPr>
      <w:r>
        <w:rPr>
          <w:rFonts w:hint="eastAsia"/>
          <w:color w:val="000000"/>
          <w:spacing w:val="5"/>
        </w:rPr>
        <w:t>本合同所有附件及合同补充条款均为本合同不可分割的组成部分，与合同正文有同等的法律效力。</w:t>
      </w:r>
    </w:p>
    <w:p>
      <w:pPr>
        <w:pStyle w:val="50"/>
        <w:widowControl w:val="0"/>
        <w:numPr>
          <w:ilvl w:val="0"/>
          <w:numId w:val="44"/>
        </w:numPr>
        <w:adjustRightInd w:val="0"/>
        <w:snapToGrid w:val="0"/>
        <w:spacing w:before="0" w:beforeAutospacing="0" w:after="0" w:afterAutospacing="0" w:line="360" w:lineRule="auto"/>
        <w:ind w:left="0" w:firstLine="0"/>
        <w:jc w:val="both"/>
        <w:rPr>
          <w:color w:val="000000"/>
          <w:spacing w:val="5"/>
        </w:rPr>
      </w:pPr>
      <w:r>
        <w:rPr>
          <w:rFonts w:hint="eastAsia"/>
          <w:color w:val="000000"/>
          <w:spacing w:val="5"/>
        </w:rPr>
        <w:t>对本合同的任何修改和增补，以双方签章的书面文件为准。</w:t>
      </w:r>
    </w:p>
    <w:p>
      <w:pPr>
        <w:pStyle w:val="50"/>
        <w:widowControl w:val="0"/>
        <w:numPr>
          <w:ilvl w:val="0"/>
          <w:numId w:val="44"/>
        </w:numPr>
        <w:adjustRightInd w:val="0"/>
        <w:snapToGrid w:val="0"/>
        <w:spacing w:before="0" w:beforeAutospacing="0" w:after="0" w:afterAutospacing="0" w:line="360" w:lineRule="auto"/>
        <w:ind w:left="0" w:firstLine="0"/>
        <w:jc w:val="both"/>
        <w:rPr>
          <w:color w:val="000000"/>
          <w:spacing w:val="5"/>
        </w:rPr>
      </w:pPr>
      <w:r>
        <w:rPr>
          <w:rFonts w:hint="eastAsia"/>
          <w:color w:val="000000"/>
          <w:spacing w:val="5"/>
        </w:rPr>
        <w:t>未尽事宜由双方友好协商决定。</w:t>
      </w:r>
    </w:p>
    <w:p>
      <w:pPr>
        <w:adjustRightInd w:val="0"/>
        <w:snapToGrid w:val="0"/>
        <w:spacing w:line="360" w:lineRule="auto"/>
        <w:rPr>
          <w:rFonts w:ascii="宋体" w:hAnsi="宋体" w:cs="宋体"/>
          <w:b/>
          <w:color w:val="000000"/>
          <w:sz w:val="24"/>
          <w:szCs w:val="24"/>
        </w:rPr>
      </w:pPr>
    </w:p>
    <w:p>
      <w:pPr>
        <w:spacing w:line="360" w:lineRule="auto"/>
        <w:rPr>
          <w:rFonts w:ascii="宋体" w:hAnsi="宋体" w:cs="宋体"/>
          <w:sz w:val="24"/>
          <w:szCs w:val="24"/>
        </w:rPr>
      </w:pPr>
      <w:r>
        <w:rPr>
          <w:rFonts w:hint="eastAsia" w:ascii="宋体" w:hAnsi="宋体" w:cs="宋体"/>
          <w:sz w:val="24"/>
          <w:szCs w:val="24"/>
        </w:rPr>
        <w:br w:type="page"/>
      </w:r>
    </w:p>
    <w:tbl>
      <w:tblPr>
        <w:tblStyle w:val="56"/>
        <w:tblpPr w:leftFromText="180" w:rightFromText="180" w:vertAnchor="text" w:tblpY="1"/>
        <w:tblOverlap w:val="never"/>
        <w:tblW w:w="0" w:type="auto"/>
        <w:tblInd w:w="0" w:type="dxa"/>
        <w:tblLayout w:type="fixed"/>
        <w:tblCellMar>
          <w:top w:w="0" w:type="dxa"/>
          <w:left w:w="0" w:type="dxa"/>
          <w:bottom w:w="0" w:type="dxa"/>
          <w:right w:w="0" w:type="dxa"/>
        </w:tblCellMar>
      </w:tblPr>
      <w:tblGrid>
        <w:gridCol w:w="742"/>
        <w:gridCol w:w="8021"/>
      </w:tblGrid>
      <w:tr>
        <w:tblPrEx>
          <w:tblCellMar>
            <w:top w:w="0" w:type="dxa"/>
            <w:left w:w="0" w:type="dxa"/>
            <w:bottom w:w="0" w:type="dxa"/>
            <w:right w:w="0" w:type="dxa"/>
          </w:tblCellMar>
        </w:tblPrEx>
        <w:trPr>
          <w:trHeight w:val="3736" w:hRule="atLeast"/>
        </w:trPr>
        <w:tc>
          <w:tcPr>
            <w:tcW w:w="742" w:type="dxa"/>
            <w:tcMar>
              <w:top w:w="0" w:type="dxa"/>
              <w:left w:w="108" w:type="dxa"/>
              <w:bottom w:w="0" w:type="dxa"/>
              <w:right w:w="108" w:type="dxa"/>
            </w:tcMar>
          </w:tcPr>
          <w:p>
            <w:pPr>
              <w:spacing w:line="360" w:lineRule="auto"/>
              <w:rPr>
                <w:rFonts w:ascii="宋体" w:hAnsi="宋体" w:cs="宋体"/>
                <w:color w:val="000000"/>
                <w:sz w:val="24"/>
                <w:szCs w:val="24"/>
              </w:rPr>
            </w:pPr>
          </w:p>
          <w:p>
            <w:pPr>
              <w:spacing w:line="360" w:lineRule="auto"/>
              <w:rPr>
                <w:rFonts w:ascii="宋体" w:hAnsi="宋体" w:cs="宋体"/>
                <w:color w:val="000000"/>
                <w:sz w:val="24"/>
                <w:szCs w:val="24"/>
              </w:rPr>
            </w:pPr>
          </w:p>
          <w:p>
            <w:pPr>
              <w:spacing w:line="360" w:lineRule="auto"/>
              <w:rPr>
                <w:rFonts w:ascii="宋体" w:hAnsi="宋体" w:cs="宋体"/>
                <w:b/>
                <w:color w:val="000000"/>
                <w:sz w:val="24"/>
                <w:szCs w:val="24"/>
              </w:rPr>
            </w:pPr>
            <w:r>
              <w:rPr>
                <w:rFonts w:hint="eastAsia" w:ascii="宋体" w:hAnsi="宋体" w:cs="宋体"/>
                <w:color w:val="000000"/>
                <w:sz w:val="24"/>
                <w:szCs w:val="24"/>
              </w:rPr>
              <w:t xml:space="preserve"> </w:t>
            </w:r>
            <w:r>
              <w:rPr>
                <w:rFonts w:hint="eastAsia" w:ascii="宋体" w:hAnsi="宋体" w:cs="宋体"/>
                <w:b/>
                <w:color w:val="000000"/>
                <w:sz w:val="24"/>
                <w:szCs w:val="24"/>
              </w:rPr>
              <w:t>甲</w:t>
            </w:r>
          </w:p>
          <w:p>
            <w:pPr>
              <w:spacing w:line="360" w:lineRule="auto"/>
              <w:rPr>
                <w:rFonts w:ascii="宋体" w:hAnsi="宋体" w:cs="宋体"/>
                <w:b/>
                <w:color w:val="000000"/>
                <w:sz w:val="24"/>
                <w:szCs w:val="24"/>
              </w:rPr>
            </w:pPr>
          </w:p>
          <w:p>
            <w:pPr>
              <w:spacing w:line="360" w:lineRule="auto"/>
              <w:rPr>
                <w:rFonts w:ascii="宋体" w:hAnsi="宋体" w:cs="宋体"/>
                <w:b/>
                <w:color w:val="000000"/>
                <w:sz w:val="24"/>
                <w:szCs w:val="24"/>
              </w:rPr>
            </w:pPr>
          </w:p>
          <w:p>
            <w:pPr>
              <w:spacing w:line="360" w:lineRule="auto"/>
              <w:rPr>
                <w:rFonts w:ascii="宋体" w:hAnsi="宋体" w:cs="宋体"/>
                <w:b/>
                <w:color w:val="000000"/>
                <w:sz w:val="24"/>
                <w:szCs w:val="24"/>
              </w:rPr>
            </w:pPr>
          </w:p>
          <w:p>
            <w:pPr>
              <w:spacing w:line="360" w:lineRule="auto"/>
              <w:rPr>
                <w:rFonts w:ascii="宋体" w:hAnsi="宋体" w:cs="宋体"/>
                <w:b/>
                <w:color w:val="000000"/>
                <w:sz w:val="24"/>
                <w:szCs w:val="24"/>
              </w:rPr>
            </w:pPr>
            <w:r>
              <w:rPr>
                <w:rFonts w:hint="eastAsia" w:ascii="宋体" w:hAnsi="宋体" w:cs="宋体"/>
                <w:b/>
                <w:color w:val="000000"/>
                <w:sz w:val="24"/>
                <w:szCs w:val="24"/>
              </w:rPr>
              <w:t xml:space="preserve"> </w:t>
            </w:r>
          </w:p>
          <w:p>
            <w:pPr>
              <w:spacing w:line="360" w:lineRule="auto"/>
              <w:rPr>
                <w:rFonts w:ascii="宋体" w:hAnsi="宋体" w:cs="宋体"/>
                <w:b/>
                <w:color w:val="000000"/>
                <w:sz w:val="24"/>
                <w:szCs w:val="24"/>
              </w:rPr>
            </w:pPr>
          </w:p>
          <w:p>
            <w:pPr>
              <w:spacing w:line="360" w:lineRule="auto"/>
              <w:rPr>
                <w:rFonts w:ascii="宋体" w:hAnsi="宋体" w:cs="宋体"/>
                <w:color w:val="000000"/>
                <w:sz w:val="24"/>
                <w:szCs w:val="24"/>
              </w:rPr>
            </w:pPr>
            <w:r>
              <w:rPr>
                <w:rFonts w:hint="eastAsia" w:ascii="宋体" w:hAnsi="宋体" w:cs="宋体"/>
                <w:b/>
                <w:color w:val="000000"/>
                <w:sz w:val="24"/>
                <w:szCs w:val="24"/>
              </w:rPr>
              <w:t xml:space="preserve"> 方</w:t>
            </w:r>
          </w:p>
        </w:tc>
        <w:tc>
          <w:tcPr>
            <w:tcW w:w="8021" w:type="dxa"/>
            <w:tcMar>
              <w:top w:w="0" w:type="dxa"/>
              <w:left w:w="108" w:type="dxa"/>
              <w:bottom w:w="0" w:type="dxa"/>
              <w:right w:w="108" w:type="dxa"/>
            </w:tcMar>
          </w:tcPr>
          <w:p>
            <w:pPr>
              <w:spacing w:line="360" w:lineRule="auto"/>
              <w:rPr>
                <w:rFonts w:ascii="宋体" w:hAnsi="宋体" w:cs="宋体"/>
                <w:color w:val="000000"/>
                <w:sz w:val="24"/>
                <w:szCs w:val="24"/>
              </w:rPr>
            </w:pPr>
          </w:p>
          <w:p>
            <w:pPr>
              <w:spacing w:line="360" w:lineRule="auto"/>
              <w:rPr>
                <w:rFonts w:ascii="宋体" w:hAnsi="宋体" w:cs="宋体"/>
                <w:color w:val="000000"/>
                <w:sz w:val="24"/>
                <w:szCs w:val="24"/>
              </w:rPr>
            </w:pPr>
            <w:r>
              <w:rPr>
                <w:rFonts w:hint="eastAsia" w:ascii="宋体" w:hAnsi="宋体" w:cs="宋体"/>
                <w:color w:val="000000"/>
                <w:sz w:val="24"/>
                <w:szCs w:val="24"/>
              </w:rPr>
              <w:t>单位名称：</w:t>
            </w:r>
            <w:r>
              <w:rPr>
                <w:rFonts w:hint="eastAsia" w:ascii="宋体" w:hAnsi="宋体" w:cs="宋体"/>
                <w:sz w:val="24"/>
                <w:szCs w:val="24"/>
              </w:rPr>
              <w:t xml:space="preserve">                           </w:t>
            </w:r>
            <w:r>
              <w:rPr>
                <w:rFonts w:hint="eastAsia" w:ascii="宋体" w:hAnsi="宋体" w:cs="宋体"/>
                <w:color w:val="000000"/>
                <w:sz w:val="24"/>
                <w:szCs w:val="24"/>
              </w:rPr>
              <w:t xml:space="preserve">             （公 章）</w:t>
            </w:r>
          </w:p>
          <w:p>
            <w:pPr>
              <w:spacing w:line="360" w:lineRule="auto"/>
              <w:rPr>
                <w:rFonts w:ascii="宋体" w:hAnsi="宋体" w:cs="宋体"/>
                <w:color w:val="000000"/>
                <w:sz w:val="24"/>
                <w:szCs w:val="24"/>
              </w:rPr>
            </w:pPr>
          </w:p>
          <w:p>
            <w:pPr>
              <w:spacing w:line="360" w:lineRule="auto"/>
              <w:rPr>
                <w:rFonts w:ascii="宋体" w:hAnsi="宋体" w:cs="宋体"/>
                <w:sz w:val="24"/>
                <w:szCs w:val="24"/>
              </w:rPr>
            </w:pPr>
            <w:r>
              <w:rPr>
                <w:rFonts w:hint="eastAsia" w:ascii="宋体" w:hAnsi="宋体" w:cs="宋体"/>
                <w:color w:val="000000"/>
                <w:sz w:val="24"/>
                <w:szCs w:val="24"/>
              </w:rPr>
              <w:t xml:space="preserve">地    址：                        </w:t>
            </w:r>
            <w:r>
              <w:rPr>
                <w:rFonts w:hint="eastAsia" w:ascii="宋体" w:hAnsi="宋体" w:cs="宋体"/>
                <w:sz w:val="24"/>
                <w:szCs w:val="24"/>
              </w:rPr>
              <w:t xml:space="preserve">                 电  话：       </w:t>
            </w:r>
          </w:p>
          <w:p>
            <w:pPr>
              <w:spacing w:line="360" w:lineRule="auto"/>
              <w:rPr>
                <w:rFonts w:ascii="宋体" w:hAnsi="宋体" w:cs="宋体"/>
                <w:sz w:val="24"/>
                <w:szCs w:val="24"/>
              </w:rPr>
            </w:pPr>
            <w:r>
              <w:rPr>
                <w:rFonts w:hint="eastAsia" w:ascii="宋体" w:hAnsi="宋体" w:cs="宋体"/>
                <w:sz w:val="24"/>
                <w:szCs w:val="24"/>
              </w:rPr>
              <w:t xml:space="preserve">          </w:t>
            </w:r>
            <w:r>
              <w:rPr>
                <w:rFonts w:hint="eastAsia" w:ascii="宋体" w:hAnsi="宋体" w:cs="宋体"/>
                <w:color w:val="000000"/>
                <w:sz w:val="24"/>
                <w:szCs w:val="24"/>
              </w:rPr>
              <w:t xml:space="preserve">  </w:t>
            </w:r>
          </w:p>
          <w:p>
            <w:pPr>
              <w:spacing w:line="360" w:lineRule="auto"/>
              <w:rPr>
                <w:rFonts w:ascii="宋体" w:hAnsi="宋体" w:cs="宋体"/>
                <w:color w:val="000000"/>
                <w:sz w:val="24"/>
                <w:szCs w:val="24"/>
              </w:rPr>
            </w:pPr>
            <w:r>
              <w:rPr>
                <w:rFonts w:hint="eastAsia" w:ascii="宋体" w:hAnsi="宋体" w:cs="宋体"/>
                <w:color w:val="000000"/>
                <w:sz w:val="24"/>
                <w:szCs w:val="24"/>
              </w:rPr>
              <w:t>开户银行：                                         帐  号：</w:t>
            </w:r>
          </w:p>
          <w:p>
            <w:pPr>
              <w:spacing w:line="360" w:lineRule="auto"/>
              <w:rPr>
                <w:rFonts w:ascii="宋体" w:hAnsi="宋体" w:cs="宋体"/>
                <w:color w:val="000000"/>
                <w:sz w:val="24"/>
                <w:szCs w:val="24"/>
              </w:rPr>
            </w:pPr>
          </w:p>
          <w:p>
            <w:pPr>
              <w:spacing w:line="360" w:lineRule="auto"/>
              <w:rPr>
                <w:rFonts w:ascii="宋体" w:hAnsi="宋体" w:cs="宋体"/>
                <w:color w:val="000000"/>
                <w:sz w:val="24"/>
                <w:szCs w:val="24"/>
              </w:rPr>
            </w:pPr>
            <w:r>
              <w:rPr>
                <w:rFonts w:hint="eastAsia" w:ascii="宋体" w:hAnsi="宋体" w:cs="宋体"/>
                <w:color w:val="000000"/>
                <w:sz w:val="24"/>
                <w:szCs w:val="24"/>
              </w:rPr>
              <w:t>法定代表人：</w:t>
            </w:r>
          </w:p>
          <w:p>
            <w:pPr>
              <w:spacing w:line="360" w:lineRule="auto"/>
              <w:rPr>
                <w:rFonts w:ascii="宋体" w:hAnsi="宋体" w:cs="宋体"/>
                <w:color w:val="000000"/>
                <w:sz w:val="24"/>
                <w:szCs w:val="24"/>
              </w:rPr>
            </w:pPr>
            <w:r>
              <w:rPr>
                <w:rFonts w:hint="eastAsia" w:ascii="宋体" w:hAnsi="宋体" w:cs="宋体"/>
                <w:color w:val="000000"/>
                <w:sz w:val="24"/>
                <w:szCs w:val="24"/>
              </w:rPr>
              <w:t>或代理人：                项目负责人：                 年    月     日</w:t>
            </w:r>
          </w:p>
          <w:p>
            <w:pPr>
              <w:spacing w:line="360" w:lineRule="auto"/>
              <w:rPr>
                <w:rFonts w:ascii="宋体" w:hAnsi="宋体" w:cs="宋体"/>
                <w:color w:val="000000"/>
                <w:sz w:val="24"/>
                <w:szCs w:val="24"/>
              </w:rPr>
            </w:pPr>
          </w:p>
        </w:tc>
      </w:tr>
      <w:tr>
        <w:tblPrEx>
          <w:tblCellMar>
            <w:top w:w="0" w:type="dxa"/>
            <w:left w:w="0" w:type="dxa"/>
            <w:bottom w:w="0" w:type="dxa"/>
            <w:right w:w="0" w:type="dxa"/>
          </w:tblCellMar>
        </w:tblPrEx>
        <w:trPr>
          <w:trHeight w:val="3228" w:hRule="atLeast"/>
        </w:trPr>
        <w:tc>
          <w:tcPr>
            <w:tcW w:w="742" w:type="dxa"/>
            <w:tcMar>
              <w:top w:w="0" w:type="dxa"/>
              <w:left w:w="108" w:type="dxa"/>
              <w:bottom w:w="0" w:type="dxa"/>
              <w:right w:w="108" w:type="dxa"/>
            </w:tcMar>
          </w:tcPr>
          <w:p>
            <w:pPr>
              <w:spacing w:line="360" w:lineRule="auto"/>
              <w:rPr>
                <w:rFonts w:ascii="宋体" w:hAnsi="宋体" w:cs="宋体"/>
                <w:b/>
                <w:color w:val="000000"/>
                <w:sz w:val="24"/>
                <w:szCs w:val="24"/>
              </w:rPr>
            </w:pPr>
          </w:p>
          <w:p>
            <w:pPr>
              <w:spacing w:line="360" w:lineRule="auto"/>
              <w:rPr>
                <w:rFonts w:ascii="宋体" w:hAnsi="宋体" w:cs="宋体"/>
                <w:b/>
                <w:color w:val="000000"/>
                <w:sz w:val="24"/>
                <w:szCs w:val="24"/>
              </w:rPr>
            </w:pPr>
          </w:p>
          <w:p>
            <w:pPr>
              <w:spacing w:line="360" w:lineRule="auto"/>
              <w:rPr>
                <w:rFonts w:ascii="宋体" w:hAnsi="宋体" w:cs="宋体"/>
                <w:b/>
                <w:color w:val="000000"/>
                <w:sz w:val="24"/>
                <w:szCs w:val="24"/>
              </w:rPr>
            </w:pPr>
            <w:r>
              <w:rPr>
                <w:rFonts w:hint="eastAsia" w:ascii="宋体" w:hAnsi="宋体" w:cs="宋体"/>
                <w:b/>
                <w:color w:val="000000"/>
                <w:sz w:val="24"/>
                <w:szCs w:val="24"/>
              </w:rPr>
              <w:t xml:space="preserve"> 乙</w:t>
            </w:r>
          </w:p>
          <w:p>
            <w:pPr>
              <w:spacing w:line="360" w:lineRule="auto"/>
              <w:rPr>
                <w:rFonts w:ascii="宋体" w:hAnsi="宋体" w:cs="宋体"/>
                <w:b/>
                <w:color w:val="000000"/>
                <w:sz w:val="24"/>
                <w:szCs w:val="24"/>
              </w:rPr>
            </w:pPr>
          </w:p>
          <w:p>
            <w:pPr>
              <w:spacing w:line="360" w:lineRule="auto"/>
              <w:rPr>
                <w:rFonts w:ascii="宋体" w:hAnsi="宋体" w:cs="宋体"/>
                <w:b/>
                <w:color w:val="000000"/>
                <w:sz w:val="24"/>
                <w:szCs w:val="24"/>
              </w:rPr>
            </w:pPr>
          </w:p>
          <w:p>
            <w:pPr>
              <w:spacing w:line="360" w:lineRule="auto"/>
              <w:rPr>
                <w:rFonts w:ascii="宋体" w:hAnsi="宋体" w:cs="宋体"/>
                <w:b/>
                <w:color w:val="000000"/>
                <w:sz w:val="24"/>
                <w:szCs w:val="24"/>
              </w:rPr>
            </w:pPr>
          </w:p>
          <w:p>
            <w:pPr>
              <w:spacing w:line="360" w:lineRule="auto"/>
              <w:rPr>
                <w:rFonts w:ascii="宋体" w:hAnsi="宋体" w:cs="宋体"/>
                <w:b/>
                <w:color w:val="000000"/>
                <w:sz w:val="24"/>
                <w:szCs w:val="24"/>
              </w:rPr>
            </w:pPr>
          </w:p>
          <w:p>
            <w:pPr>
              <w:spacing w:line="360" w:lineRule="auto"/>
              <w:rPr>
                <w:rFonts w:ascii="宋体" w:hAnsi="宋体" w:cs="宋体"/>
                <w:b/>
                <w:color w:val="000000"/>
                <w:sz w:val="24"/>
                <w:szCs w:val="24"/>
              </w:rPr>
            </w:pPr>
          </w:p>
          <w:p>
            <w:pPr>
              <w:spacing w:line="360" w:lineRule="auto"/>
              <w:rPr>
                <w:rFonts w:ascii="宋体" w:hAnsi="宋体" w:cs="宋体"/>
                <w:b/>
                <w:color w:val="000000"/>
                <w:sz w:val="24"/>
                <w:szCs w:val="24"/>
              </w:rPr>
            </w:pPr>
            <w:r>
              <w:rPr>
                <w:rFonts w:hint="eastAsia" w:ascii="宋体" w:hAnsi="宋体" w:cs="宋体"/>
                <w:b/>
                <w:color w:val="000000"/>
                <w:sz w:val="24"/>
                <w:szCs w:val="24"/>
              </w:rPr>
              <w:t xml:space="preserve"> 方</w:t>
            </w:r>
          </w:p>
        </w:tc>
        <w:tc>
          <w:tcPr>
            <w:tcW w:w="8021" w:type="dxa"/>
            <w:tcMar>
              <w:top w:w="0" w:type="dxa"/>
              <w:left w:w="108" w:type="dxa"/>
              <w:bottom w:w="0" w:type="dxa"/>
              <w:right w:w="108" w:type="dxa"/>
            </w:tcMar>
          </w:tcPr>
          <w:p>
            <w:pPr>
              <w:spacing w:line="360" w:lineRule="auto"/>
              <w:rPr>
                <w:rFonts w:ascii="宋体" w:hAnsi="宋体" w:cs="宋体"/>
                <w:color w:val="000000"/>
                <w:sz w:val="24"/>
                <w:szCs w:val="24"/>
              </w:rPr>
            </w:pPr>
          </w:p>
          <w:p>
            <w:pPr>
              <w:spacing w:line="360" w:lineRule="auto"/>
              <w:rPr>
                <w:rFonts w:ascii="宋体" w:hAnsi="宋体" w:cs="宋体"/>
                <w:color w:val="000000"/>
                <w:sz w:val="24"/>
                <w:szCs w:val="24"/>
              </w:rPr>
            </w:pPr>
            <w:r>
              <w:rPr>
                <w:rFonts w:hint="eastAsia" w:ascii="宋体" w:hAnsi="宋体" w:cs="宋体"/>
                <w:color w:val="000000"/>
                <w:sz w:val="24"/>
                <w:szCs w:val="24"/>
              </w:rPr>
              <w:t>单位名称：                                      （公 章）</w:t>
            </w:r>
          </w:p>
          <w:p>
            <w:pPr>
              <w:spacing w:line="360" w:lineRule="auto"/>
              <w:rPr>
                <w:rFonts w:ascii="宋体" w:hAnsi="宋体" w:cs="宋体"/>
                <w:color w:val="000000"/>
                <w:sz w:val="24"/>
                <w:szCs w:val="24"/>
              </w:rPr>
            </w:pPr>
          </w:p>
          <w:p>
            <w:pPr>
              <w:spacing w:line="360" w:lineRule="auto"/>
              <w:rPr>
                <w:rFonts w:ascii="宋体" w:hAnsi="宋体" w:cs="宋体"/>
                <w:color w:val="000000"/>
                <w:sz w:val="24"/>
                <w:szCs w:val="24"/>
              </w:rPr>
            </w:pPr>
            <w:r>
              <w:rPr>
                <w:rFonts w:hint="eastAsia" w:ascii="宋体" w:hAnsi="宋体" w:cs="宋体"/>
                <w:color w:val="000000"/>
                <w:sz w:val="24"/>
                <w:szCs w:val="24"/>
              </w:rPr>
              <w:t xml:space="preserve">地    址：                                </w:t>
            </w:r>
            <w:r>
              <w:rPr>
                <w:rFonts w:hint="eastAsia" w:ascii="宋体" w:hAnsi="宋体" w:cs="宋体"/>
                <w:sz w:val="24"/>
                <w:szCs w:val="24"/>
              </w:rPr>
              <w:t xml:space="preserve">     </w:t>
            </w:r>
            <w:r>
              <w:rPr>
                <w:rFonts w:hint="eastAsia" w:ascii="宋体" w:hAnsi="宋体" w:cs="宋体"/>
                <w:color w:val="000000"/>
                <w:sz w:val="24"/>
                <w:szCs w:val="24"/>
              </w:rPr>
              <w:t xml:space="preserve">电  话： </w:t>
            </w:r>
          </w:p>
          <w:p>
            <w:pPr>
              <w:spacing w:line="360" w:lineRule="auto"/>
              <w:rPr>
                <w:rFonts w:ascii="宋体" w:hAnsi="宋体" w:cs="宋体"/>
                <w:color w:val="000000"/>
                <w:sz w:val="24"/>
                <w:szCs w:val="24"/>
              </w:rPr>
            </w:pPr>
            <w:r>
              <w:rPr>
                <w:rFonts w:hint="eastAsia" w:ascii="宋体" w:hAnsi="宋体" w:cs="宋体"/>
                <w:color w:val="000000"/>
                <w:sz w:val="24"/>
                <w:szCs w:val="24"/>
              </w:rPr>
              <w:t xml:space="preserve">           </w:t>
            </w:r>
          </w:p>
          <w:p>
            <w:pPr>
              <w:spacing w:line="360" w:lineRule="auto"/>
              <w:rPr>
                <w:rFonts w:ascii="宋体" w:hAnsi="宋体" w:cs="宋体"/>
                <w:color w:val="000000"/>
                <w:sz w:val="24"/>
                <w:szCs w:val="24"/>
              </w:rPr>
            </w:pPr>
            <w:r>
              <w:rPr>
                <w:rFonts w:hint="eastAsia" w:ascii="宋体" w:hAnsi="宋体" w:cs="宋体"/>
                <w:color w:val="000000"/>
                <w:sz w:val="24"/>
                <w:szCs w:val="24"/>
              </w:rPr>
              <w:t xml:space="preserve">开户银行：                                     帐  号： </w:t>
            </w:r>
          </w:p>
          <w:p>
            <w:pPr>
              <w:spacing w:line="360" w:lineRule="auto"/>
              <w:rPr>
                <w:rFonts w:ascii="宋体" w:hAnsi="宋体" w:cs="宋体"/>
                <w:color w:val="000000"/>
                <w:sz w:val="24"/>
                <w:szCs w:val="24"/>
              </w:rPr>
            </w:pPr>
          </w:p>
          <w:p>
            <w:pPr>
              <w:spacing w:line="360" w:lineRule="auto"/>
              <w:rPr>
                <w:rFonts w:ascii="宋体" w:hAnsi="宋体" w:cs="宋体"/>
                <w:color w:val="000000"/>
                <w:sz w:val="24"/>
                <w:szCs w:val="24"/>
              </w:rPr>
            </w:pPr>
            <w:r>
              <w:rPr>
                <w:rFonts w:hint="eastAsia" w:ascii="宋体" w:hAnsi="宋体" w:cs="宋体"/>
                <w:color w:val="000000"/>
                <w:sz w:val="24"/>
                <w:szCs w:val="24"/>
              </w:rPr>
              <w:t>法定代表人：</w:t>
            </w:r>
          </w:p>
          <w:p>
            <w:pPr>
              <w:spacing w:line="360" w:lineRule="auto"/>
              <w:rPr>
                <w:rFonts w:ascii="宋体" w:hAnsi="宋体" w:cs="宋体"/>
                <w:color w:val="000000"/>
                <w:sz w:val="24"/>
                <w:szCs w:val="24"/>
              </w:rPr>
            </w:pPr>
            <w:r>
              <w:rPr>
                <w:rFonts w:hint="eastAsia" w:ascii="宋体" w:hAnsi="宋体" w:cs="宋体"/>
                <w:color w:val="000000"/>
                <w:sz w:val="24"/>
                <w:szCs w:val="24"/>
              </w:rPr>
              <w:t>或代理人：                项目负责人：                  年    月    日</w:t>
            </w:r>
          </w:p>
          <w:p>
            <w:pPr>
              <w:spacing w:line="360" w:lineRule="auto"/>
              <w:rPr>
                <w:rFonts w:ascii="宋体" w:hAnsi="宋体" w:cs="宋体"/>
                <w:color w:val="000000"/>
                <w:sz w:val="24"/>
                <w:szCs w:val="24"/>
              </w:rPr>
            </w:pPr>
          </w:p>
        </w:tc>
      </w:tr>
      <w:tr>
        <w:tblPrEx>
          <w:tblCellMar>
            <w:top w:w="0" w:type="dxa"/>
            <w:left w:w="0" w:type="dxa"/>
            <w:bottom w:w="0" w:type="dxa"/>
            <w:right w:w="0" w:type="dxa"/>
          </w:tblCellMar>
        </w:tblPrEx>
        <w:trPr>
          <w:trHeight w:val="3228" w:hRule="atLeast"/>
        </w:trPr>
        <w:tc>
          <w:tcPr>
            <w:tcW w:w="742" w:type="dxa"/>
            <w:tcBorders>
              <w:bottom w:val="single" w:color="000000" w:sz="4" w:space="0"/>
            </w:tcBorders>
            <w:tcMar>
              <w:top w:w="0" w:type="dxa"/>
              <w:left w:w="108" w:type="dxa"/>
              <w:bottom w:w="0" w:type="dxa"/>
              <w:right w:w="108" w:type="dxa"/>
            </w:tcMar>
          </w:tcPr>
          <w:p>
            <w:pPr>
              <w:spacing w:line="360" w:lineRule="auto"/>
              <w:rPr>
                <w:rFonts w:ascii="宋体" w:hAnsi="宋体" w:cs="宋体"/>
                <w:b/>
                <w:color w:val="000000"/>
                <w:sz w:val="24"/>
                <w:szCs w:val="24"/>
              </w:rPr>
            </w:pPr>
          </w:p>
        </w:tc>
        <w:tc>
          <w:tcPr>
            <w:tcW w:w="8021" w:type="dxa"/>
            <w:tcBorders>
              <w:bottom w:val="single" w:color="000000" w:sz="4" w:space="0"/>
            </w:tcBorders>
            <w:tcMar>
              <w:top w:w="0" w:type="dxa"/>
              <w:left w:w="108" w:type="dxa"/>
              <w:bottom w:w="0" w:type="dxa"/>
              <w:right w:w="108" w:type="dxa"/>
            </w:tcMar>
          </w:tcPr>
          <w:p>
            <w:pPr>
              <w:spacing w:line="360" w:lineRule="auto"/>
              <w:rPr>
                <w:rFonts w:ascii="宋体" w:hAnsi="宋体" w:cs="宋体"/>
                <w:color w:val="000000"/>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tabs>
                <w:tab w:val="left" w:pos="6930"/>
              </w:tabs>
              <w:spacing w:line="360" w:lineRule="auto"/>
              <w:rPr>
                <w:rFonts w:ascii="宋体" w:hAnsi="宋体" w:cs="宋体"/>
                <w:sz w:val="24"/>
                <w:szCs w:val="24"/>
              </w:rPr>
            </w:pPr>
          </w:p>
        </w:tc>
      </w:tr>
    </w:tbl>
    <w:p>
      <w:pPr>
        <w:spacing w:line="360" w:lineRule="auto"/>
        <w:rPr>
          <w:rFonts w:ascii="宋体" w:hAnsi="宋体" w:cs="宋体"/>
          <w:color w:val="000000"/>
          <w:sz w:val="24"/>
          <w:szCs w:val="24"/>
        </w:rPr>
      </w:pPr>
    </w:p>
    <w:p>
      <w:pPr>
        <w:spacing w:line="360" w:lineRule="auto"/>
        <w:rPr>
          <w:rFonts w:ascii="宋体" w:hAnsi="宋体" w:cs="宋体"/>
          <w:color w:val="000000"/>
          <w:sz w:val="24"/>
          <w:szCs w:val="24"/>
        </w:rPr>
      </w:pPr>
    </w:p>
    <w:p>
      <w:pPr>
        <w:adjustRightInd w:val="0"/>
        <w:snapToGrid w:val="0"/>
        <w:spacing w:line="360" w:lineRule="auto"/>
        <w:rPr>
          <w:rFonts w:ascii="宋体" w:hAnsi="宋体" w:cs="宋体"/>
          <w:b/>
          <w:color w:val="000000"/>
          <w:sz w:val="24"/>
          <w:szCs w:val="24"/>
        </w:rPr>
      </w:pPr>
      <w:r>
        <w:rPr>
          <w:rFonts w:hint="eastAsia" w:ascii="宋体" w:hAnsi="宋体" w:cs="宋体"/>
          <w:color w:val="000000"/>
          <w:sz w:val="24"/>
          <w:szCs w:val="24"/>
        </w:rPr>
        <w:br w:type="page"/>
      </w:r>
      <w:r>
        <w:rPr>
          <w:rFonts w:hint="eastAsia" w:ascii="宋体" w:hAnsi="宋体" w:cs="宋体"/>
          <w:color w:val="000000"/>
          <w:sz w:val="24"/>
          <w:szCs w:val="24"/>
        </w:rPr>
        <w:t>附件一：</w:t>
      </w:r>
    </w:p>
    <w:p>
      <w:pPr>
        <w:adjustRightInd w:val="0"/>
        <w:snapToGrid w:val="0"/>
        <w:spacing w:line="360" w:lineRule="auto"/>
        <w:jc w:val="center"/>
        <w:rPr>
          <w:rFonts w:ascii="宋体" w:hAnsi="宋体" w:cs="宋体"/>
          <w:b/>
          <w:color w:val="000000"/>
          <w:sz w:val="24"/>
          <w:szCs w:val="24"/>
        </w:rPr>
      </w:pPr>
      <w:r>
        <w:rPr>
          <w:rFonts w:hint="eastAsia" w:ascii="宋体" w:hAnsi="宋体" w:cs="宋体"/>
          <w:b/>
          <w:color w:val="000000"/>
          <w:sz w:val="24"/>
          <w:szCs w:val="24"/>
        </w:rPr>
        <w:t>反商业贿赂条款</w:t>
      </w:r>
    </w:p>
    <w:p>
      <w:pPr>
        <w:adjustRightInd w:val="0"/>
        <w:snapToGrid w:val="0"/>
        <w:spacing w:line="360" w:lineRule="auto"/>
        <w:rPr>
          <w:rFonts w:ascii="宋体" w:hAnsi="宋体" w:cs="宋体"/>
          <w:color w:val="000000"/>
          <w:sz w:val="24"/>
          <w:szCs w:val="24"/>
        </w:rPr>
      </w:pPr>
      <w:r>
        <w:rPr>
          <w:rFonts w:hint="eastAsia" w:ascii="宋体" w:hAnsi="宋体" w:cs="宋体"/>
          <w:color w:val="000000"/>
          <w:sz w:val="24"/>
          <w:szCs w:val="24"/>
        </w:rPr>
        <w:t>反商业贿赂条款是本合同之必备附件，与本合同具有同等法律效力，合同各方同意签订并遵守如下反商业贿赂条款的各项约定：</w:t>
      </w:r>
    </w:p>
    <w:p>
      <w:pPr>
        <w:adjustRightInd w:val="0"/>
        <w:snapToGrid w:val="0"/>
        <w:spacing w:line="360" w:lineRule="auto"/>
        <w:rPr>
          <w:rFonts w:ascii="宋体" w:hAnsi="宋体" w:cs="宋体"/>
          <w:color w:val="000000"/>
          <w:sz w:val="24"/>
          <w:szCs w:val="24"/>
        </w:rPr>
      </w:pPr>
      <w:r>
        <w:rPr>
          <w:rFonts w:hint="eastAsia" w:ascii="宋体" w:hAnsi="宋体" w:cs="宋体"/>
          <w:color w:val="000000"/>
          <w:sz w:val="24"/>
          <w:szCs w:val="24"/>
        </w:rPr>
        <w:t>1、合同各方都清楚并愿意严格遵守中华人民共和国关于反商业贿赂的有关法律法规的规定，双方都清楚任何形式的贿赂行为都可能触犯法律，并受到法律的严惩。</w:t>
      </w:r>
    </w:p>
    <w:p>
      <w:pPr>
        <w:adjustRightInd w:val="0"/>
        <w:snapToGrid w:val="0"/>
        <w:spacing w:line="360" w:lineRule="auto"/>
        <w:rPr>
          <w:rFonts w:ascii="宋体" w:hAnsi="宋体" w:cs="宋体"/>
          <w:color w:val="000000"/>
          <w:sz w:val="24"/>
          <w:szCs w:val="24"/>
        </w:rPr>
      </w:pPr>
      <w:r>
        <w:rPr>
          <w:rFonts w:hint="eastAsia" w:ascii="宋体" w:hAnsi="宋体" w:cs="宋体"/>
          <w:color w:val="000000"/>
          <w:sz w:val="24"/>
          <w:szCs w:val="24"/>
        </w:rPr>
        <w:t>2、合同各方均不得向对方或对方人员或其他相关人员索要、收受、提供、给予合同约定外的任何利益，包括但不限于明扣、暗扣、现金、购物卡、实物、有价证券、旅游或其他非物质性利益等，但如该等利益属于行业惯例或通常做法，则须在合同中明示。</w:t>
      </w:r>
    </w:p>
    <w:p>
      <w:pPr>
        <w:adjustRightInd w:val="0"/>
        <w:snapToGrid w:val="0"/>
        <w:spacing w:line="360" w:lineRule="auto"/>
        <w:rPr>
          <w:rFonts w:ascii="宋体" w:hAnsi="宋体" w:cs="宋体"/>
          <w:color w:val="000000"/>
          <w:sz w:val="24"/>
          <w:szCs w:val="24"/>
        </w:rPr>
      </w:pPr>
      <w:bookmarkStart w:id="247" w:name="OLE_LINK6"/>
      <w:r>
        <w:rPr>
          <w:rFonts w:hint="eastAsia" w:ascii="宋体" w:hAnsi="宋体" w:cs="宋体"/>
          <w:color w:val="000000"/>
          <w:sz w:val="24"/>
          <w:szCs w:val="24"/>
        </w:rPr>
        <w:t>3、扬州市民卡有限责任公司</w:t>
      </w:r>
      <w:bookmarkEnd w:id="247"/>
      <w:r>
        <w:rPr>
          <w:rFonts w:hint="eastAsia" w:ascii="宋体" w:hAnsi="宋体" w:cs="宋体"/>
          <w:color w:val="000000"/>
          <w:sz w:val="24"/>
          <w:szCs w:val="24"/>
        </w:rPr>
        <w:t>严格禁止其人员的任何商业贿赂（包括行贿及受贿）行为。扬州市民卡有限责任公司人员在签订、履行本合同过程中及其后发生本条款第2项所列示的任何一种行为，都是违反扬州市民卡有限责任公司制度的，其他合同当事人及其工作人员均有义务向扬州市民卡有限责任公司举报有关人员及行为。扬州市民卡有限责任公司举报电话：</w:t>
      </w:r>
      <w:r>
        <w:rPr>
          <w:rFonts w:hint="eastAsia" w:ascii="宋体" w:hAnsi="宋体" w:cs="宋体"/>
          <w:color w:val="000000"/>
          <w:sz w:val="24"/>
          <w:szCs w:val="24"/>
          <w:u w:val="single"/>
        </w:rPr>
        <w:t xml:space="preserve">             </w:t>
      </w:r>
      <w:r>
        <w:rPr>
          <w:rFonts w:hint="eastAsia" w:ascii="宋体" w:hAnsi="宋体" w:cs="宋体"/>
          <w:color w:val="000000"/>
          <w:sz w:val="24"/>
          <w:szCs w:val="24"/>
        </w:rPr>
        <w:t>，举报邮箱：</w:t>
      </w:r>
      <w:r>
        <w:rPr>
          <w:rFonts w:hint="eastAsia" w:ascii="宋体" w:hAnsi="宋体" w:cs="宋体"/>
          <w:color w:val="000000"/>
          <w:sz w:val="24"/>
          <w:szCs w:val="24"/>
          <w:u w:val="single"/>
        </w:rPr>
        <w:t xml:space="preserve">               </w:t>
      </w:r>
      <w:r>
        <w:rPr>
          <w:rFonts w:hint="eastAsia" w:ascii="宋体" w:hAnsi="宋体" w:cs="宋体"/>
          <w:color w:val="000000"/>
          <w:sz w:val="24"/>
          <w:szCs w:val="24"/>
        </w:rPr>
        <w:t>。</w:t>
      </w:r>
    </w:p>
    <w:p>
      <w:pPr>
        <w:adjustRightInd w:val="0"/>
        <w:snapToGrid w:val="0"/>
        <w:spacing w:line="360" w:lineRule="auto"/>
        <w:rPr>
          <w:rFonts w:ascii="宋体" w:hAnsi="宋体" w:cs="宋体"/>
          <w:color w:val="000000"/>
          <w:sz w:val="24"/>
          <w:szCs w:val="24"/>
        </w:rPr>
      </w:pPr>
      <w:r>
        <w:rPr>
          <w:rFonts w:hint="eastAsia" w:ascii="宋体" w:hAnsi="宋体" w:cs="宋体"/>
          <w:color w:val="000000"/>
          <w:sz w:val="24"/>
          <w:szCs w:val="24"/>
        </w:rPr>
        <w:t>4、其他合同当事方违反本协议约定，为谋取直接或间接的商业利益（包括但不限于合作机会和合同利益）而向扬州市民卡有限责任公司人员行贿的，视为该合同当事方违约。扬州市民卡有限责任公司有权解除本合同，并/或要求该方按本合同的总价款10%支付违约金，违约金可直接在应支付的合同价款中扣除。因合同解除造成扬州市民卡有限责任公司其他损失的，违约方还应按照合同约定赔偿损失。若该方积极配合查处接受商业贿赂人员的，扬州市民卡有限责任公司可减免相对应的违约金。有关人员的商业贿赂行为构成犯罪的，移交司法机关处理，合同各方应积极配合司法机关处理。</w:t>
      </w:r>
    </w:p>
    <w:p>
      <w:pPr>
        <w:adjustRightInd w:val="0"/>
        <w:snapToGrid w:val="0"/>
        <w:spacing w:line="360" w:lineRule="auto"/>
        <w:rPr>
          <w:rFonts w:ascii="宋体" w:hAnsi="宋体" w:cs="宋体"/>
          <w:color w:val="000000"/>
          <w:sz w:val="24"/>
          <w:szCs w:val="24"/>
        </w:rPr>
      </w:pPr>
      <w:r>
        <w:rPr>
          <w:rFonts w:hint="eastAsia" w:ascii="宋体" w:hAnsi="宋体" w:cs="宋体"/>
          <w:color w:val="000000"/>
          <w:sz w:val="24"/>
          <w:szCs w:val="24"/>
        </w:rPr>
        <w:t>5、扬州市民卡有限责任公司亦反对其他合同当事人及其人员为了本合同之目的，与本合同以外的任何第三方发生本条款第2条所列示的任何一种行为。</w:t>
      </w:r>
    </w:p>
    <w:p>
      <w:pPr>
        <w:pStyle w:val="52"/>
        <w:spacing w:before="0" w:after="0" w:line="360" w:lineRule="auto"/>
        <w:rPr>
          <w:rFonts w:ascii="宋体" w:hAnsi="宋体" w:eastAsia="宋体" w:cs="宋体"/>
          <w:sz w:val="24"/>
        </w:rPr>
      </w:pPr>
    </w:p>
    <w:p>
      <w:pPr>
        <w:adjustRightInd w:val="0"/>
        <w:snapToGrid w:val="0"/>
        <w:spacing w:line="360" w:lineRule="auto"/>
        <w:ind w:firstLine="480" w:firstLineChars="200"/>
        <w:rPr>
          <w:rFonts w:ascii="宋体" w:hAnsi="宋体" w:cs="宋体"/>
          <w:bCs/>
          <w:sz w:val="24"/>
          <w:szCs w:val="24"/>
        </w:rPr>
      </w:pPr>
    </w:p>
    <w:p>
      <w:pPr>
        <w:adjustRightInd w:val="0"/>
        <w:snapToGrid w:val="0"/>
        <w:spacing w:line="360" w:lineRule="auto"/>
        <w:ind w:firstLine="480" w:firstLineChars="200"/>
        <w:rPr>
          <w:rFonts w:ascii="宋体" w:hAnsi="宋体" w:cs="宋体"/>
          <w:bCs/>
          <w:sz w:val="24"/>
          <w:szCs w:val="24"/>
        </w:rPr>
      </w:pPr>
    </w:p>
    <w:p>
      <w:pPr>
        <w:adjustRightInd w:val="0"/>
        <w:snapToGrid w:val="0"/>
        <w:spacing w:line="360" w:lineRule="auto"/>
        <w:ind w:firstLine="480" w:firstLineChars="200"/>
        <w:rPr>
          <w:rFonts w:ascii="宋体" w:hAnsi="宋体" w:cs="宋体"/>
          <w:bCs/>
          <w:sz w:val="24"/>
          <w:szCs w:val="24"/>
        </w:rPr>
      </w:pPr>
    </w:p>
    <w:p>
      <w:pPr>
        <w:adjustRightInd w:val="0"/>
        <w:snapToGrid w:val="0"/>
        <w:spacing w:line="360" w:lineRule="auto"/>
        <w:rPr>
          <w:rFonts w:ascii="宋体" w:hAnsi="宋体" w:cs="宋体"/>
          <w:bCs/>
          <w:sz w:val="24"/>
          <w:szCs w:val="24"/>
        </w:rPr>
      </w:pPr>
    </w:p>
    <w:p>
      <w:pPr>
        <w:pStyle w:val="52"/>
        <w:spacing w:before="0" w:after="0" w:line="360" w:lineRule="auto"/>
        <w:rPr>
          <w:rFonts w:ascii="宋体" w:hAnsi="宋体" w:eastAsia="宋体" w:cs="Times New Roman"/>
          <w:snapToGrid w:val="0"/>
          <w:kern w:val="0"/>
          <w:sz w:val="44"/>
          <w:szCs w:val="20"/>
          <w:lang w:val="zh-CN"/>
        </w:rPr>
      </w:pPr>
      <w:bookmarkStart w:id="248" w:name="_Toc363573860"/>
      <w:r>
        <w:rPr>
          <w:rFonts w:hint="eastAsia" w:ascii="宋体" w:hAnsi="宋体" w:eastAsia="宋体" w:cs="宋体"/>
          <w:sz w:val="24"/>
        </w:rPr>
        <w:br w:type="page"/>
      </w:r>
      <w:bookmarkStart w:id="249" w:name="_Toc523208573"/>
      <w:bookmarkStart w:id="250" w:name="_Toc4778"/>
      <w:r>
        <w:rPr>
          <w:rFonts w:hint="eastAsia" w:ascii="宋体" w:hAnsi="宋体" w:eastAsia="宋体" w:cs="Times New Roman"/>
          <w:snapToGrid w:val="0"/>
          <w:kern w:val="0"/>
          <w:sz w:val="44"/>
          <w:szCs w:val="20"/>
          <w:lang w:val="zh-CN"/>
        </w:rPr>
        <w:t>第六章 投标文件组成</w:t>
      </w:r>
      <w:bookmarkEnd w:id="249"/>
      <w:bookmarkEnd w:id="250"/>
    </w:p>
    <w:p>
      <w:pPr>
        <w:snapToGrid w:val="0"/>
        <w:spacing w:line="360" w:lineRule="auto"/>
        <w:ind w:firstLine="555"/>
        <w:jc w:val="left"/>
        <w:rPr>
          <w:rFonts w:ascii="宋体" w:hAnsi="宋体" w:cs="宋体"/>
          <w:b/>
          <w:sz w:val="24"/>
          <w:szCs w:val="24"/>
        </w:rPr>
      </w:pPr>
      <w:r>
        <w:rPr>
          <w:rFonts w:hint="eastAsia" w:ascii="宋体" w:hAnsi="宋体" w:cs="宋体"/>
          <w:b/>
          <w:sz w:val="24"/>
          <w:szCs w:val="24"/>
        </w:rPr>
        <w:t>响应文件由资格审查证明材料、价格响应文件、商务技术响应文件三部分组成。</w:t>
      </w:r>
    </w:p>
    <w:p>
      <w:pPr>
        <w:pStyle w:val="431"/>
        <w:snapToGrid w:val="0"/>
        <w:spacing w:before="0" w:beforeAutospacing="0" w:after="0" w:afterAutospacing="0" w:line="360" w:lineRule="auto"/>
        <w:ind w:left="549"/>
        <w:contextualSpacing/>
        <w:rPr>
          <w:b/>
          <w:color w:val="000000"/>
          <w:szCs w:val="24"/>
        </w:rPr>
      </w:pPr>
      <w:r>
        <w:rPr>
          <w:rFonts w:hint="eastAsia"/>
          <w:b/>
          <w:color w:val="000000"/>
          <w:szCs w:val="24"/>
        </w:rPr>
        <w:t>一、资格审查证明材料（一正两副；单独密封并牢固装订）：</w:t>
      </w:r>
    </w:p>
    <w:p>
      <w:pPr>
        <w:snapToGrid w:val="0"/>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1、关于资格的声明函；</w:t>
      </w:r>
    </w:p>
    <w:p>
      <w:pPr>
        <w:pStyle w:val="293"/>
        <w:snapToGrid w:val="0"/>
        <w:spacing w:line="360" w:lineRule="auto"/>
        <w:ind w:firstLine="480" w:firstLineChars="200"/>
        <w:rPr>
          <w:rFonts w:ascii="宋体" w:eastAsia="宋体" w:cs="宋体"/>
          <w:color w:val="000000"/>
          <w:sz w:val="24"/>
          <w:szCs w:val="24"/>
        </w:rPr>
      </w:pPr>
      <w:r>
        <w:rPr>
          <w:rFonts w:hint="eastAsia" w:ascii="宋体" w:eastAsia="宋体" w:cs="宋体"/>
          <w:color w:val="000000"/>
          <w:sz w:val="24"/>
          <w:szCs w:val="24"/>
        </w:rPr>
        <w:t>2、法定代表人身份证明书（提供复印件并加盖公章）；</w:t>
      </w:r>
    </w:p>
    <w:p>
      <w:pPr>
        <w:tabs>
          <w:tab w:val="left" w:pos="3375"/>
        </w:tabs>
        <w:autoSpaceDE w:val="0"/>
        <w:autoSpaceDN w:val="0"/>
        <w:adjustRightInd w:val="0"/>
        <w:snapToGrid w:val="0"/>
        <w:spacing w:line="360" w:lineRule="auto"/>
        <w:ind w:left="1" w:firstLine="538"/>
        <w:rPr>
          <w:rFonts w:ascii="宋体" w:hAnsi="宋体" w:cs="宋体"/>
          <w:color w:val="000000"/>
          <w:sz w:val="24"/>
          <w:szCs w:val="24"/>
          <w:lang w:val="zh-CN"/>
        </w:rPr>
      </w:pPr>
      <w:r>
        <w:rPr>
          <w:rFonts w:hint="eastAsia" w:ascii="宋体" w:hAnsi="宋体" w:cs="宋体"/>
          <w:color w:val="000000"/>
          <w:sz w:val="24"/>
          <w:szCs w:val="24"/>
          <w:lang w:val="zh-CN"/>
        </w:rPr>
        <w:t>3、法定代表人授权委托书原件，投标代表本人身份证复印件（原件随身备查）；</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4、请按公开招标公告资格要求中的（5）至（8）提供相应的佐证材料（提供复印件并加盖公章）；</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5、其它在投标文件中需要提交的材料。</w:t>
      </w:r>
    </w:p>
    <w:p>
      <w:pPr>
        <w:pStyle w:val="293"/>
        <w:snapToGrid w:val="0"/>
        <w:spacing w:line="360" w:lineRule="auto"/>
        <w:ind w:firstLine="496"/>
        <w:rPr>
          <w:rFonts w:ascii="宋体" w:eastAsia="宋体" w:cs="宋体"/>
          <w:b/>
          <w:color w:val="000000"/>
          <w:sz w:val="24"/>
          <w:szCs w:val="24"/>
        </w:rPr>
      </w:pPr>
      <w:r>
        <w:rPr>
          <w:rFonts w:hint="eastAsia" w:ascii="宋体" w:eastAsia="宋体" w:cs="宋体"/>
          <w:b/>
          <w:color w:val="000000"/>
          <w:sz w:val="24"/>
          <w:szCs w:val="24"/>
        </w:rPr>
        <w:t>二、价格响应文件，一式二份（单独密封并牢固装订），不得出现在商务技术响应文件部分：</w:t>
      </w:r>
    </w:p>
    <w:p>
      <w:pPr>
        <w:pStyle w:val="293"/>
        <w:snapToGrid w:val="0"/>
        <w:spacing w:line="360" w:lineRule="auto"/>
        <w:ind w:firstLine="494"/>
        <w:rPr>
          <w:rFonts w:ascii="宋体" w:eastAsia="宋体" w:cs="宋体"/>
          <w:color w:val="000000"/>
          <w:sz w:val="24"/>
          <w:szCs w:val="24"/>
        </w:rPr>
      </w:pPr>
      <w:r>
        <w:rPr>
          <w:rFonts w:hint="eastAsia" w:ascii="宋体" w:eastAsia="宋体" w:cs="宋体"/>
          <w:color w:val="000000"/>
          <w:sz w:val="24"/>
          <w:szCs w:val="24"/>
        </w:rPr>
        <w:t>1、报价总表；</w:t>
      </w:r>
    </w:p>
    <w:p>
      <w:pPr>
        <w:pStyle w:val="293"/>
        <w:snapToGrid w:val="0"/>
        <w:spacing w:line="360" w:lineRule="auto"/>
        <w:ind w:firstLine="494"/>
        <w:rPr>
          <w:rFonts w:ascii="宋体" w:eastAsia="宋体" w:cs="宋体"/>
          <w:color w:val="000000"/>
          <w:sz w:val="24"/>
          <w:szCs w:val="24"/>
        </w:rPr>
      </w:pPr>
      <w:r>
        <w:rPr>
          <w:rFonts w:hint="eastAsia" w:ascii="宋体" w:eastAsia="宋体" w:cs="宋体"/>
          <w:color w:val="000000"/>
          <w:sz w:val="24"/>
          <w:szCs w:val="24"/>
        </w:rPr>
        <w:t>2、报价明细表。</w:t>
      </w:r>
    </w:p>
    <w:p>
      <w:pPr>
        <w:pStyle w:val="293"/>
        <w:snapToGrid w:val="0"/>
        <w:spacing w:line="360" w:lineRule="auto"/>
        <w:ind w:firstLine="496"/>
        <w:rPr>
          <w:rFonts w:ascii="宋体" w:eastAsia="宋体" w:cs="宋体"/>
          <w:color w:val="000000"/>
          <w:sz w:val="24"/>
          <w:szCs w:val="24"/>
        </w:rPr>
      </w:pPr>
      <w:r>
        <w:rPr>
          <w:rFonts w:hint="eastAsia" w:ascii="宋体" w:eastAsia="宋体" w:cs="宋体"/>
          <w:b/>
          <w:color w:val="000000"/>
          <w:sz w:val="24"/>
          <w:szCs w:val="24"/>
        </w:rPr>
        <w:t>三、商务技术响应文件（不能出现报价；一正两副，单独密封并牢固装订）：</w:t>
      </w:r>
    </w:p>
    <w:p>
      <w:pPr>
        <w:tabs>
          <w:tab w:val="left" w:pos="1260"/>
        </w:tabs>
        <w:snapToGrid w:val="0"/>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1、供应商情况一览表；</w:t>
      </w:r>
    </w:p>
    <w:p>
      <w:pPr>
        <w:pStyle w:val="293"/>
        <w:snapToGrid w:val="0"/>
        <w:spacing w:line="360" w:lineRule="auto"/>
        <w:ind w:firstLine="494"/>
        <w:rPr>
          <w:rFonts w:ascii="宋体" w:eastAsia="宋体" w:cs="宋体"/>
          <w:color w:val="000000"/>
          <w:sz w:val="24"/>
          <w:szCs w:val="24"/>
        </w:rPr>
      </w:pPr>
      <w:r>
        <w:rPr>
          <w:rFonts w:hint="eastAsia" w:ascii="宋体" w:eastAsia="宋体" w:cs="宋体"/>
          <w:color w:val="000000"/>
          <w:sz w:val="24"/>
          <w:szCs w:val="24"/>
        </w:rPr>
        <w:t>2、响应方案、货物（服务）清单；</w:t>
      </w:r>
    </w:p>
    <w:p>
      <w:pPr>
        <w:pStyle w:val="293"/>
        <w:snapToGrid w:val="0"/>
        <w:spacing w:line="360" w:lineRule="auto"/>
        <w:ind w:firstLine="494"/>
        <w:rPr>
          <w:rFonts w:ascii="宋体" w:eastAsia="宋体" w:cs="宋体"/>
          <w:color w:val="000000"/>
          <w:sz w:val="24"/>
          <w:szCs w:val="24"/>
        </w:rPr>
      </w:pPr>
      <w:r>
        <w:rPr>
          <w:rFonts w:hint="eastAsia" w:ascii="宋体" w:eastAsia="宋体" w:cs="宋体"/>
          <w:color w:val="000000"/>
          <w:sz w:val="24"/>
          <w:szCs w:val="24"/>
        </w:rPr>
        <w:t>3、为方便评委评审，请供应商按评审办法中所涉及的事项顺序进行编制，可以补充相关材料；</w:t>
      </w:r>
    </w:p>
    <w:p>
      <w:pPr>
        <w:pStyle w:val="293"/>
        <w:snapToGrid w:val="0"/>
        <w:spacing w:line="360" w:lineRule="auto"/>
        <w:ind w:firstLine="494"/>
        <w:rPr>
          <w:rFonts w:ascii="宋体" w:eastAsia="宋体" w:cs="宋体"/>
          <w:sz w:val="24"/>
          <w:szCs w:val="24"/>
        </w:rPr>
      </w:pPr>
      <w:r>
        <w:rPr>
          <w:rFonts w:hint="eastAsia" w:ascii="宋体" w:eastAsia="宋体" w:cs="宋体"/>
          <w:color w:val="000000"/>
          <w:sz w:val="24"/>
          <w:szCs w:val="24"/>
        </w:rPr>
        <w:t>4、评审办法中未涉及的事项，供应商认为需要提交的其他资料。</w:t>
      </w:r>
      <w:bookmarkEnd w:id="1"/>
      <w:bookmarkEnd w:id="248"/>
    </w:p>
    <w:sectPr>
      <w:footerReference r:id="rId7" w:type="first"/>
      <w:headerReference r:id="rId3" w:type="default"/>
      <w:footerReference r:id="rId5" w:type="default"/>
      <w:headerReference r:id="rId4" w:type="even"/>
      <w:footerReference r:id="rId6" w:type="even"/>
      <w:pgSz w:w="11906" w:h="16838"/>
      <w:pgMar w:top="414" w:right="1469" w:bottom="312" w:left="179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Calibri Light">
    <w:altName w:val="Calibri"/>
    <w:panose1 w:val="020F0302020204030204"/>
    <w:charset w:val="00"/>
    <w:family w:val="swiss"/>
    <w:pitch w:val="default"/>
    <w:sig w:usb0="00000000" w:usb1="00000000" w:usb2="00000000" w:usb3="00000000" w:csb0="0000019F" w:csb1="0000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ˎ̥">
    <w:altName w:val="Arial Unicode MS"/>
    <w:panose1 w:val="00000000000000000000"/>
    <w:charset w:val="00"/>
    <w:family w:val="roman"/>
    <w:pitch w:val="default"/>
    <w:sig w:usb0="00000000"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 w:name="华文细黑">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Arial Black">
    <w:panose1 w:val="020B0A04020102020204"/>
    <w:charset w:val="00"/>
    <w:family w:val="swiss"/>
    <w:pitch w:val="default"/>
    <w:sig w:usb0="00000287" w:usb1="00000000" w:usb2="00000000" w:usb3="00000000" w:csb0="2000009F" w:csb1="DFD70000"/>
  </w:font>
  <w:font w:name="Microsoft YaHei UI">
    <w:altName w:val="宋体"/>
    <w:panose1 w:val="020B0503020204020204"/>
    <w:charset w:val="86"/>
    <w:family w:val="swiss"/>
    <w:pitch w:val="default"/>
    <w:sig w:usb0="00000000" w:usb1="0000000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小标宋_GBK">
    <w:altName w:val="Arial Unicode MS"/>
    <w:panose1 w:val="03000509000000000000"/>
    <w:charset w:val="86"/>
    <w:family w:val="script"/>
    <w:pitch w:val="default"/>
    <w:sig w:usb0="00000000" w:usb1="00000000" w:usb2="00000010" w:usb3="00000000" w:csb0="00040000" w:csb1="00000000"/>
  </w:font>
  <w:font w:name="Futura Bk">
    <w:altName w:val="Segoe Print"/>
    <w:panose1 w:val="00000000000000000000"/>
    <w:charset w:val="00"/>
    <w:family w:val="swiss"/>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幼圆">
    <w:panose1 w:val="0201050906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Garamond">
    <w:panose1 w:val="02020404030301010803"/>
    <w:charset w:val="00"/>
    <w:family w:val="roman"/>
    <w:pitch w:val="default"/>
    <w:sig w:usb0="00000287" w:usb1="00000000" w:usb2="00000000" w:usb3="00000000" w:csb0="0000009F" w:csb1="DFD7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framePr w:wrap="around" w:vAnchor="text" w:hAnchor="margin" w:xAlign="center" w:y="1"/>
      <w:rPr>
        <w:rStyle w:val="61"/>
      </w:rPr>
    </w:pPr>
    <w:r>
      <w:fldChar w:fldCharType="begin"/>
    </w:r>
    <w:r>
      <w:rPr>
        <w:rStyle w:val="61"/>
      </w:rPr>
      <w:instrText xml:space="preserve">PAGE  </w:instrText>
    </w:r>
    <w:r>
      <w:fldChar w:fldCharType="separate"/>
    </w:r>
    <w:r>
      <w:rPr>
        <w:rStyle w:val="61"/>
      </w:rPr>
      <w:t>35</w:t>
    </w:r>
    <w:r>
      <w:fldChar w:fldCharType="end"/>
    </w:r>
  </w:p>
  <w:p>
    <w:pPr>
      <w:pStyle w:val="3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framePr w:wrap="around" w:vAnchor="text" w:hAnchor="margin" w:xAlign="center" w:y="1"/>
      <w:rPr>
        <w:rStyle w:val="61"/>
      </w:rPr>
    </w:pPr>
    <w:r>
      <w:fldChar w:fldCharType="begin"/>
    </w:r>
    <w:r>
      <w:rPr>
        <w:rStyle w:val="61"/>
      </w:rPr>
      <w:instrText xml:space="preserve">PAGE  </w:instrText>
    </w:r>
    <w:r>
      <w:fldChar w:fldCharType="separate"/>
    </w:r>
    <w:r>
      <w:rPr>
        <w:rStyle w:val="61"/>
      </w:rPr>
      <w:t>19</w:t>
    </w:r>
    <w:r>
      <w:fldChar w:fldCharType="end"/>
    </w:r>
  </w:p>
  <w:p>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190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Pi91E0AAAAAIBAAAPAAAAAAAAAAEAIAAAACIAAABkcnMvZG93&#10;bnJldi54bWxQSwECFAAUAAAACACHTuJAAu2O5ggCAAABBAAADgAAAAAAAAABACAAAAAfAQAAZHJz&#10;L2Uyb0RvYy54bWxQSwUGAAAAAAYABgBZAQAAmQU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4FCBAA"/>
    <w:multiLevelType w:val="singleLevel"/>
    <w:tmpl w:val="B94FCBAA"/>
    <w:lvl w:ilvl="0" w:tentative="0">
      <w:start w:val="1"/>
      <w:numFmt w:val="decimal"/>
      <w:suff w:val="nothing"/>
      <w:lvlText w:val="（%1）"/>
      <w:lvlJc w:val="left"/>
    </w:lvl>
  </w:abstractNum>
  <w:abstractNum w:abstractNumId="1">
    <w:nsid w:val="0000001A"/>
    <w:multiLevelType w:val="multilevel"/>
    <w:tmpl w:val="0000001A"/>
    <w:lvl w:ilvl="0" w:tentative="0">
      <w:start w:val="1"/>
      <w:numFmt w:val="japaneseCounting"/>
      <w:pStyle w:val="101"/>
      <w:lvlText w:val="（%1）"/>
      <w:lvlJc w:val="left"/>
      <w:pPr>
        <w:tabs>
          <w:tab w:val="left" w:pos="1837"/>
        </w:tabs>
        <w:ind w:left="1837" w:hanging="720"/>
      </w:pPr>
    </w:lvl>
    <w:lvl w:ilvl="1" w:tentative="0">
      <w:start w:val="1"/>
      <w:numFmt w:val="lowerLetter"/>
      <w:lvlText w:val="%2)"/>
      <w:lvlJc w:val="left"/>
      <w:pPr>
        <w:tabs>
          <w:tab w:val="left" w:pos="1957"/>
        </w:tabs>
        <w:ind w:left="1957" w:hanging="420"/>
      </w:pPr>
    </w:lvl>
    <w:lvl w:ilvl="2" w:tentative="0">
      <w:start w:val="1"/>
      <w:numFmt w:val="lowerRoman"/>
      <w:lvlText w:val="%3."/>
      <w:lvlJc w:val="right"/>
      <w:pPr>
        <w:tabs>
          <w:tab w:val="left" w:pos="2377"/>
        </w:tabs>
        <w:ind w:left="2377" w:hanging="420"/>
      </w:pPr>
    </w:lvl>
    <w:lvl w:ilvl="3" w:tentative="0">
      <w:start w:val="1"/>
      <w:numFmt w:val="decimal"/>
      <w:lvlText w:val="%4."/>
      <w:lvlJc w:val="left"/>
      <w:pPr>
        <w:tabs>
          <w:tab w:val="left" w:pos="2797"/>
        </w:tabs>
        <w:ind w:left="2797" w:hanging="420"/>
      </w:pPr>
    </w:lvl>
    <w:lvl w:ilvl="4" w:tentative="0">
      <w:start w:val="1"/>
      <w:numFmt w:val="lowerLetter"/>
      <w:lvlText w:val="%5)"/>
      <w:lvlJc w:val="left"/>
      <w:pPr>
        <w:tabs>
          <w:tab w:val="left" w:pos="3217"/>
        </w:tabs>
        <w:ind w:left="3217" w:hanging="420"/>
      </w:pPr>
    </w:lvl>
    <w:lvl w:ilvl="5" w:tentative="0">
      <w:start w:val="1"/>
      <w:numFmt w:val="lowerRoman"/>
      <w:lvlText w:val="%6."/>
      <w:lvlJc w:val="right"/>
      <w:pPr>
        <w:tabs>
          <w:tab w:val="left" w:pos="3637"/>
        </w:tabs>
        <w:ind w:left="3637" w:hanging="420"/>
      </w:pPr>
    </w:lvl>
    <w:lvl w:ilvl="6" w:tentative="0">
      <w:start w:val="1"/>
      <w:numFmt w:val="decimal"/>
      <w:lvlText w:val="%7."/>
      <w:lvlJc w:val="left"/>
      <w:pPr>
        <w:tabs>
          <w:tab w:val="left" w:pos="4057"/>
        </w:tabs>
        <w:ind w:left="4057" w:hanging="420"/>
      </w:pPr>
    </w:lvl>
    <w:lvl w:ilvl="7" w:tentative="0">
      <w:start w:val="1"/>
      <w:numFmt w:val="lowerLetter"/>
      <w:lvlText w:val="%8)"/>
      <w:lvlJc w:val="left"/>
      <w:pPr>
        <w:tabs>
          <w:tab w:val="left" w:pos="4477"/>
        </w:tabs>
        <w:ind w:left="4477" w:hanging="420"/>
      </w:pPr>
    </w:lvl>
    <w:lvl w:ilvl="8" w:tentative="0">
      <w:start w:val="1"/>
      <w:numFmt w:val="lowerRoman"/>
      <w:lvlText w:val="%9."/>
      <w:lvlJc w:val="right"/>
      <w:pPr>
        <w:tabs>
          <w:tab w:val="left" w:pos="4897"/>
        </w:tabs>
        <w:ind w:left="4897" w:hanging="420"/>
      </w:pPr>
    </w:lvl>
  </w:abstractNum>
  <w:abstractNum w:abstractNumId="2">
    <w:nsid w:val="02AD44AE"/>
    <w:multiLevelType w:val="multilevel"/>
    <w:tmpl w:val="02AD44AE"/>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
    <w:nsid w:val="075F71FB"/>
    <w:multiLevelType w:val="multilevel"/>
    <w:tmpl w:val="075F71FB"/>
    <w:lvl w:ilvl="0" w:tentative="0">
      <w:start w:val="1"/>
      <w:numFmt w:val="upperLetter"/>
      <w:suff w:val="space"/>
      <w:lvlText w:val="%1."/>
      <w:lvlJc w:val="left"/>
      <w:pPr>
        <w:ind w:left="2310" w:hanging="420"/>
      </w:pPr>
      <w:rPr>
        <w:rFonts w:hint="eastAsia"/>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4">
    <w:nsid w:val="0A7423B3"/>
    <w:multiLevelType w:val="multilevel"/>
    <w:tmpl w:val="0A7423B3"/>
    <w:lvl w:ilvl="0" w:tentative="0">
      <w:start w:val="5"/>
      <w:numFmt w:val="japaneseCounting"/>
      <w:pStyle w:val="196"/>
      <w:lvlText w:val="第%1章"/>
      <w:lvlJc w:val="left"/>
      <w:pPr>
        <w:ind w:left="3572" w:hanging="1080"/>
      </w:pPr>
      <w:rPr>
        <w:rFonts w:hint="default"/>
      </w:rPr>
    </w:lvl>
    <w:lvl w:ilvl="1" w:tentative="0">
      <w:start w:val="1"/>
      <w:numFmt w:val="lowerLetter"/>
      <w:lvlText w:val="%2)"/>
      <w:lvlJc w:val="left"/>
      <w:pPr>
        <w:ind w:left="3332" w:hanging="420"/>
      </w:pPr>
    </w:lvl>
    <w:lvl w:ilvl="2" w:tentative="0">
      <w:start w:val="1"/>
      <w:numFmt w:val="lowerRoman"/>
      <w:lvlText w:val="%3."/>
      <w:lvlJc w:val="right"/>
      <w:pPr>
        <w:ind w:left="3752" w:hanging="420"/>
      </w:pPr>
    </w:lvl>
    <w:lvl w:ilvl="3" w:tentative="0">
      <w:start w:val="1"/>
      <w:numFmt w:val="decimal"/>
      <w:lvlText w:val="%4."/>
      <w:lvlJc w:val="left"/>
      <w:pPr>
        <w:ind w:left="4172" w:hanging="420"/>
      </w:pPr>
    </w:lvl>
    <w:lvl w:ilvl="4" w:tentative="0">
      <w:start w:val="1"/>
      <w:numFmt w:val="lowerLetter"/>
      <w:lvlText w:val="%5)"/>
      <w:lvlJc w:val="left"/>
      <w:pPr>
        <w:ind w:left="4592" w:hanging="420"/>
      </w:pPr>
    </w:lvl>
    <w:lvl w:ilvl="5" w:tentative="0">
      <w:start w:val="1"/>
      <w:numFmt w:val="lowerRoman"/>
      <w:lvlText w:val="%6."/>
      <w:lvlJc w:val="right"/>
      <w:pPr>
        <w:ind w:left="5012" w:hanging="420"/>
      </w:pPr>
    </w:lvl>
    <w:lvl w:ilvl="6" w:tentative="0">
      <w:start w:val="1"/>
      <w:numFmt w:val="decimal"/>
      <w:lvlText w:val="%7."/>
      <w:lvlJc w:val="left"/>
      <w:pPr>
        <w:ind w:left="5432" w:hanging="420"/>
      </w:pPr>
    </w:lvl>
    <w:lvl w:ilvl="7" w:tentative="0">
      <w:start w:val="1"/>
      <w:numFmt w:val="lowerLetter"/>
      <w:lvlText w:val="%8)"/>
      <w:lvlJc w:val="left"/>
      <w:pPr>
        <w:ind w:left="5852" w:hanging="420"/>
      </w:pPr>
    </w:lvl>
    <w:lvl w:ilvl="8" w:tentative="0">
      <w:start w:val="1"/>
      <w:numFmt w:val="lowerRoman"/>
      <w:lvlText w:val="%9."/>
      <w:lvlJc w:val="right"/>
      <w:pPr>
        <w:ind w:left="6272" w:hanging="420"/>
      </w:pPr>
    </w:lvl>
  </w:abstractNum>
  <w:abstractNum w:abstractNumId="5">
    <w:nsid w:val="0EF86CB1"/>
    <w:multiLevelType w:val="multilevel"/>
    <w:tmpl w:val="0EF86CB1"/>
    <w:lvl w:ilvl="0" w:tentative="0">
      <w:start w:val="1"/>
      <w:numFmt w:val="ideographTradition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6B546ED"/>
    <w:multiLevelType w:val="multilevel"/>
    <w:tmpl w:val="16B546ED"/>
    <w:lvl w:ilvl="0" w:tentative="0">
      <w:start w:val="1"/>
      <w:numFmt w:val="decimal"/>
      <w:pStyle w:val="400"/>
      <w:lvlText w:val="%1"/>
      <w:lvlJc w:val="left"/>
      <w:pPr>
        <w:tabs>
          <w:tab w:val="left" w:pos="425"/>
        </w:tabs>
        <w:ind w:left="425" w:hanging="425"/>
      </w:pPr>
    </w:lvl>
    <w:lvl w:ilvl="1" w:tentative="0">
      <w:start w:val="1"/>
      <w:numFmt w:val="decimal"/>
      <w:pStyle w:val="262"/>
      <w:lvlText w:val="%1.%2"/>
      <w:lvlJc w:val="left"/>
      <w:pPr>
        <w:tabs>
          <w:tab w:val="left" w:pos="992"/>
        </w:tabs>
        <w:ind w:left="992" w:hanging="567"/>
      </w:pPr>
    </w:lvl>
    <w:lvl w:ilvl="2" w:tentative="0">
      <w:start w:val="1"/>
      <w:numFmt w:val="decimal"/>
      <w:pStyle w:val="261"/>
      <w:lvlText w:val="%1.%2.%3"/>
      <w:lvlJc w:val="left"/>
      <w:pPr>
        <w:tabs>
          <w:tab w:val="left" w:pos="1418"/>
        </w:tabs>
        <w:ind w:left="1418" w:hanging="567"/>
      </w:pPr>
    </w:lvl>
    <w:lvl w:ilvl="3" w:tentative="0">
      <w:start w:val="1"/>
      <w:numFmt w:val="decimal"/>
      <w:pStyle w:val="274"/>
      <w:lvlText w:val="%1.%2.%3.%4"/>
      <w:lvlJc w:val="left"/>
      <w:pPr>
        <w:tabs>
          <w:tab w:val="left" w:pos="1984"/>
        </w:tabs>
        <w:ind w:left="1984" w:hanging="708"/>
      </w:pPr>
    </w:lvl>
    <w:lvl w:ilvl="4" w:tentative="0">
      <w:start w:val="1"/>
      <w:numFmt w:val="decimal"/>
      <w:pStyle w:val="349"/>
      <w:lvlText w:val="%1.%2.%3.%4.%5"/>
      <w:lvlJc w:val="left"/>
      <w:pPr>
        <w:tabs>
          <w:tab w:val="left" w:pos="2551"/>
        </w:tabs>
        <w:ind w:left="2551" w:hanging="850"/>
      </w:pPr>
    </w:lvl>
    <w:lvl w:ilvl="5" w:tentative="0">
      <w:start w:val="1"/>
      <w:numFmt w:val="decimal"/>
      <w:pStyle w:val="348"/>
      <w:lvlText w:val="%1.%2.%3.%4.%5.%6"/>
      <w:lvlJc w:val="left"/>
      <w:pPr>
        <w:tabs>
          <w:tab w:val="left" w:pos="3260"/>
        </w:tabs>
        <w:ind w:left="3260" w:hanging="1134"/>
      </w:pPr>
    </w:lvl>
    <w:lvl w:ilvl="6" w:tentative="0">
      <w:start w:val="1"/>
      <w:numFmt w:val="decimal"/>
      <w:pStyle w:val="347"/>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7">
    <w:nsid w:val="1CE369E7"/>
    <w:multiLevelType w:val="multilevel"/>
    <w:tmpl w:val="1CE369E7"/>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992"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8">
    <w:nsid w:val="1EB375EF"/>
    <w:multiLevelType w:val="multilevel"/>
    <w:tmpl w:val="1EB375EF"/>
    <w:lvl w:ilvl="0" w:tentative="0">
      <w:start w:val="12"/>
      <w:numFmt w:val="chineseCountingThousand"/>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3CF7A1A"/>
    <w:multiLevelType w:val="multilevel"/>
    <w:tmpl w:val="23CF7A1A"/>
    <w:lvl w:ilvl="0" w:tentative="0">
      <w:start w:val="1"/>
      <w:numFmt w:val="chineseCountingThousand"/>
      <w:lvlText w:val="%1、"/>
      <w:lvlJc w:val="left"/>
      <w:pPr>
        <w:ind w:left="4531" w:hanging="420"/>
      </w:p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2550378B"/>
    <w:multiLevelType w:val="multilevel"/>
    <w:tmpl w:val="2550378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decimal"/>
      <w:suff w:val="space"/>
      <w:lvlText w:val="%3."/>
      <w:lvlJc w:val="left"/>
      <w:pPr>
        <w:ind w:left="1260" w:hanging="420"/>
      </w:pPr>
      <w:rPr>
        <w:rFonts w:hint="eastAsia"/>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27337CE2"/>
    <w:multiLevelType w:val="multilevel"/>
    <w:tmpl w:val="27337CE2"/>
    <w:lvl w:ilvl="0" w:tentative="0">
      <w:start w:val="1"/>
      <w:numFmt w:val="decimal"/>
      <w:suff w:val="space"/>
      <w:lvlText w:val="%1."/>
      <w:lvlJc w:val="left"/>
      <w:pPr>
        <w:ind w:left="147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27954406"/>
    <w:multiLevelType w:val="multilevel"/>
    <w:tmpl w:val="27954406"/>
    <w:lvl w:ilvl="0" w:tentative="0">
      <w:start w:val="1"/>
      <w:numFmt w:val="decimal"/>
      <w:lvlText w:val="%1)"/>
      <w:lvlJc w:val="left"/>
      <w:pPr>
        <w:ind w:left="1271" w:hanging="420"/>
      </w:pPr>
    </w:lvl>
    <w:lvl w:ilvl="1" w:tentative="0">
      <w:start w:val="1"/>
      <w:numFmt w:val="lowerLetter"/>
      <w:lvlText w:val="%2)"/>
      <w:lvlJc w:val="left"/>
      <w:pPr>
        <w:ind w:left="1691" w:hanging="420"/>
      </w:pPr>
    </w:lvl>
    <w:lvl w:ilvl="2" w:tentative="0">
      <w:start w:val="1"/>
      <w:numFmt w:val="lowerRoman"/>
      <w:lvlText w:val="%3."/>
      <w:lvlJc w:val="right"/>
      <w:pPr>
        <w:ind w:left="2111" w:hanging="420"/>
      </w:pPr>
    </w:lvl>
    <w:lvl w:ilvl="3" w:tentative="0">
      <w:start w:val="1"/>
      <w:numFmt w:val="decimal"/>
      <w:lvlText w:val="%4."/>
      <w:lvlJc w:val="left"/>
      <w:pPr>
        <w:ind w:left="2531" w:hanging="420"/>
      </w:pPr>
    </w:lvl>
    <w:lvl w:ilvl="4" w:tentative="0">
      <w:start w:val="1"/>
      <w:numFmt w:val="lowerLetter"/>
      <w:lvlText w:val="%5)"/>
      <w:lvlJc w:val="left"/>
      <w:pPr>
        <w:ind w:left="2951" w:hanging="420"/>
      </w:pPr>
    </w:lvl>
    <w:lvl w:ilvl="5" w:tentative="0">
      <w:start w:val="1"/>
      <w:numFmt w:val="lowerRoman"/>
      <w:lvlText w:val="%6."/>
      <w:lvlJc w:val="right"/>
      <w:pPr>
        <w:ind w:left="3371" w:hanging="420"/>
      </w:pPr>
    </w:lvl>
    <w:lvl w:ilvl="6" w:tentative="0">
      <w:start w:val="1"/>
      <w:numFmt w:val="decimal"/>
      <w:lvlText w:val="%7."/>
      <w:lvlJc w:val="left"/>
      <w:pPr>
        <w:ind w:left="3791" w:hanging="420"/>
      </w:pPr>
    </w:lvl>
    <w:lvl w:ilvl="7" w:tentative="0">
      <w:start w:val="1"/>
      <w:numFmt w:val="lowerLetter"/>
      <w:lvlText w:val="%8)"/>
      <w:lvlJc w:val="left"/>
      <w:pPr>
        <w:ind w:left="4211" w:hanging="420"/>
      </w:pPr>
    </w:lvl>
    <w:lvl w:ilvl="8" w:tentative="0">
      <w:start w:val="1"/>
      <w:numFmt w:val="lowerRoman"/>
      <w:lvlText w:val="%9."/>
      <w:lvlJc w:val="right"/>
      <w:pPr>
        <w:ind w:left="4631" w:hanging="420"/>
      </w:pPr>
    </w:lvl>
  </w:abstractNum>
  <w:abstractNum w:abstractNumId="13">
    <w:nsid w:val="2D041BBC"/>
    <w:multiLevelType w:val="multilevel"/>
    <w:tmpl w:val="2D041BBC"/>
    <w:lvl w:ilvl="0" w:tentative="0">
      <w:start w:val="1"/>
      <w:numFmt w:val="decimal"/>
      <w:lvlText w:val="%1."/>
      <w:lvlJc w:val="left"/>
      <w:pPr>
        <w:ind w:left="420" w:hanging="420"/>
      </w:pPr>
    </w:lvl>
    <w:lvl w:ilvl="1" w:tentative="0">
      <w:start w:val="1"/>
      <w:numFmt w:val="decimal"/>
      <w:suff w:val="space"/>
      <w:lvlText w:val="%2."/>
      <w:lvlJc w:val="left"/>
      <w:pPr>
        <w:ind w:left="1680" w:hanging="4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2E06F751"/>
    <w:multiLevelType w:val="singleLevel"/>
    <w:tmpl w:val="2E06F751"/>
    <w:lvl w:ilvl="0" w:tentative="0">
      <w:start w:val="1"/>
      <w:numFmt w:val="decimal"/>
      <w:suff w:val="nothing"/>
      <w:lvlText w:val="（%1）"/>
      <w:lvlJc w:val="left"/>
    </w:lvl>
  </w:abstractNum>
  <w:abstractNum w:abstractNumId="15">
    <w:nsid w:val="302F2553"/>
    <w:multiLevelType w:val="multilevel"/>
    <w:tmpl w:val="302F2553"/>
    <w:lvl w:ilvl="0" w:tentative="0">
      <w:start w:val="1"/>
      <w:numFmt w:val="decimal"/>
      <w:suff w:val="space"/>
      <w:lvlText w:val="%1."/>
      <w:lvlJc w:val="left"/>
      <w:pPr>
        <w:ind w:left="126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33084B4E"/>
    <w:multiLevelType w:val="singleLevel"/>
    <w:tmpl w:val="33084B4E"/>
    <w:lvl w:ilvl="0" w:tentative="0">
      <w:start w:val="1"/>
      <w:numFmt w:val="upperLetter"/>
      <w:suff w:val="nothing"/>
      <w:lvlText w:val="%1、"/>
      <w:lvlJc w:val="left"/>
    </w:lvl>
  </w:abstractNum>
  <w:abstractNum w:abstractNumId="17">
    <w:nsid w:val="34E0428A"/>
    <w:multiLevelType w:val="singleLevel"/>
    <w:tmpl w:val="34E0428A"/>
    <w:lvl w:ilvl="0" w:tentative="0">
      <w:start w:val="1"/>
      <w:numFmt w:val="decimal"/>
      <w:suff w:val="space"/>
      <w:lvlText w:val="%1."/>
      <w:lvlJc w:val="left"/>
      <w:pPr>
        <w:ind w:left="360" w:hanging="425"/>
      </w:pPr>
      <w:rPr>
        <w:rFonts w:hint="default"/>
        <w:b w:val="0"/>
        <w:w w:val="100"/>
      </w:rPr>
    </w:lvl>
  </w:abstractNum>
  <w:abstractNum w:abstractNumId="18">
    <w:nsid w:val="3BE329CE"/>
    <w:multiLevelType w:val="multilevel"/>
    <w:tmpl w:val="3BE329CE"/>
    <w:lvl w:ilvl="0" w:tentative="0">
      <w:start w:val="1"/>
      <w:numFmt w:val="decimal"/>
      <w:suff w:val="space"/>
      <w:lvlText w:val="%1."/>
      <w:lvlJc w:val="left"/>
      <w:pPr>
        <w:ind w:left="425" w:hanging="425"/>
      </w:pPr>
      <w:rPr>
        <w:rFonts w:hint="eastAsia"/>
      </w:rPr>
    </w:lvl>
    <w:lvl w:ilvl="1" w:tentative="0">
      <w:start w:val="1"/>
      <w:numFmt w:val="decimal"/>
      <w:pStyle w:val="455"/>
      <w:suff w:val="space"/>
      <w:lvlText w:val="%1.%2"/>
      <w:lvlJc w:val="left"/>
      <w:pPr>
        <w:ind w:left="0" w:firstLine="0"/>
      </w:pPr>
      <w:rPr>
        <w:rFonts w:hint="eastAsia"/>
      </w:rPr>
    </w:lvl>
    <w:lvl w:ilvl="2" w:tentative="0">
      <w:start w:val="1"/>
      <w:numFmt w:val="decimal"/>
      <w:suff w:val="space"/>
      <w:lvlText w:val="%1.%2.%3"/>
      <w:lvlJc w:val="left"/>
      <w:pPr>
        <w:ind w:left="0" w:firstLine="425"/>
      </w:pPr>
      <w:rPr>
        <w:rFonts w:hint="eastAsia"/>
      </w:rPr>
    </w:lvl>
    <w:lvl w:ilvl="3" w:tentative="0">
      <w:start w:val="1"/>
      <w:numFmt w:val="decimal"/>
      <w:pStyle w:val="454"/>
      <w:suff w:val="space"/>
      <w:lvlText w:val="%1.%2.%3.%4"/>
      <w:lvlJc w:val="left"/>
      <w:pPr>
        <w:ind w:left="1984" w:hanging="1559"/>
      </w:pPr>
      <w:rPr>
        <w:rFonts w:hint="eastAsia"/>
        <w:sz w:val="28"/>
        <w:szCs w:val="28"/>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20">
    <w:nsid w:val="411C0BD1"/>
    <w:multiLevelType w:val="multilevel"/>
    <w:tmpl w:val="411C0BD1"/>
    <w:lvl w:ilvl="0" w:tentative="0">
      <w:start w:val="1"/>
      <w:numFmt w:val="chineseCountingThousand"/>
      <w:suff w:val="space"/>
      <w:lvlText w:val="(%1)"/>
      <w:lvlJc w:val="left"/>
      <w:pPr>
        <w:ind w:left="892" w:hanging="420"/>
      </w:pPr>
      <w:rPr>
        <w:rFonts w:hint="eastAsia"/>
        <w:b w:val="0"/>
      </w:rPr>
    </w:lvl>
    <w:lvl w:ilvl="1" w:tentative="0">
      <w:start w:val="1"/>
      <w:numFmt w:val="lowerLetter"/>
      <w:lvlText w:val="%2)"/>
      <w:lvlJc w:val="left"/>
      <w:pPr>
        <w:ind w:left="1312" w:hanging="420"/>
      </w:pPr>
      <w:rPr>
        <w:rFonts w:hint="eastAsia"/>
      </w:rPr>
    </w:lvl>
    <w:lvl w:ilvl="2" w:tentative="0">
      <w:start w:val="1"/>
      <w:numFmt w:val="lowerRoman"/>
      <w:lvlText w:val="%3."/>
      <w:lvlJc w:val="right"/>
      <w:pPr>
        <w:ind w:left="1732" w:hanging="420"/>
      </w:pPr>
      <w:rPr>
        <w:rFonts w:hint="eastAsia"/>
      </w:rPr>
    </w:lvl>
    <w:lvl w:ilvl="3" w:tentative="0">
      <w:start w:val="1"/>
      <w:numFmt w:val="decimal"/>
      <w:lvlText w:val="%4."/>
      <w:lvlJc w:val="left"/>
      <w:pPr>
        <w:ind w:left="2152" w:hanging="420"/>
      </w:pPr>
      <w:rPr>
        <w:rFonts w:hint="eastAsia"/>
      </w:rPr>
    </w:lvl>
    <w:lvl w:ilvl="4" w:tentative="0">
      <w:start w:val="1"/>
      <w:numFmt w:val="lowerLetter"/>
      <w:lvlText w:val="%5)"/>
      <w:lvlJc w:val="left"/>
      <w:pPr>
        <w:ind w:left="2572" w:hanging="420"/>
      </w:pPr>
      <w:rPr>
        <w:rFonts w:hint="eastAsia"/>
      </w:rPr>
    </w:lvl>
    <w:lvl w:ilvl="5" w:tentative="0">
      <w:start w:val="1"/>
      <w:numFmt w:val="lowerRoman"/>
      <w:lvlText w:val="%6."/>
      <w:lvlJc w:val="right"/>
      <w:pPr>
        <w:ind w:left="2992" w:hanging="420"/>
      </w:pPr>
      <w:rPr>
        <w:rFonts w:hint="eastAsia"/>
      </w:rPr>
    </w:lvl>
    <w:lvl w:ilvl="6" w:tentative="0">
      <w:start w:val="1"/>
      <w:numFmt w:val="decimal"/>
      <w:lvlText w:val="%7."/>
      <w:lvlJc w:val="left"/>
      <w:pPr>
        <w:ind w:left="3412" w:hanging="420"/>
      </w:pPr>
      <w:rPr>
        <w:rFonts w:hint="eastAsia"/>
      </w:rPr>
    </w:lvl>
    <w:lvl w:ilvl="7" w:tentative="0">
      <w:start w:val="1"/>
      <w:numFmt w:val="lowerLetter"/>
      <w:lvlText w:val="%8)"/>
      <w:lvlJc w:val="left"/>
      <w:pPr>
        <w:ind w:left="3832" w:hanging="420"/>
      </w:pPr>
      <w:rPr>
        <w:rFonts w:hint="eastAsia"/>
      </w:rPr>
    </w:lvl>
    <w:lvl w:ilvl="8" w:tentative="0">
      <w:start w:val="1"/>
      <w:numFmt w:val="lowerRoman"/>
      <w:lvlText w:val="%9."/>
      <w:lvlJc w:val="right"/>
      <w:pPr>
        <w:ind w:left="4252" w:hanging="420"/>
      </w:pPr>
      <w:rPr>
        <w:rFonts w:hint="eastAsia"/>
      </w:rPr>
    </w:lvl>
  </w:abstractNum>
  <w:abstractNum w:abstractNumId="21">
    <w:nsid w:val="453A136A"/>
    <w:multiLevelType w:val="multilevel"/>
    <w:tmpl w:val="453A136A"/>
    <w:lvl w:ilvl="0" w:tentative="0">
      <w:start w:val="1"/>
      <w:numFmt w:val="decimal"/>
      <w:suff w:val="nothing"/>
      <w:lvlText w:val="（%1）"/>
      <w:lvlJc w:val="left"/>
      <w:pPr>
        <w:ind w:left="147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4867517E"/>
    <w:multiLevelType w:val="multilevel"/>
    <w:tmpl w:val="4867517E"/>
    <w:lvl w:ilvl="0" w:tentative="0">
      <w:start w:val="1"/>
      <w:numFmt w:val="decimal"/>
      <w:suff w:val="space"/>
      <w:lvlText w:val="%1)"/>
      <w:lvlJc w:val="left"/>
      <w:pPr>
        <w:ind w:left="147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3">
    <w:nsid w:val="4C5D58F9"/>
    <w:multiLevelType w:val="multilevel"/>
    <w:tmpl w:val="4C5D58F9"/>
    <w:lvl w:ilvl="0" w:tentative="0">
      <w:start w:val="1"/>
      <w:numFmt w:val="decimal"/>
      <w:suff w:val="space"/>
      <w:lvlText w:val="%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51557426"/>
    <w:multiLevelType w:val="multilevel"/>
    <w:tmpl w:val="51557426"/>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5">
    <w:nsid w:val="5AF95D2C"/>
    <w:multiLevelType w:val="multilevel"/>
    <w:tmpl w:val="5AF95D2C"/>
    <w:lvl w:ilvl="0" w:tentative="0">
      <w:start w:val="1"/>
      <w:numFmt w:val="decimal"/>
      <w:lvlText w:val="%1)"/>
      <w:lvlJc w:val="left"/>
      <w:pPr>
        <w:ind w:left="420" w:hanging="420"/>
      </w:pPr>
      <w:rPr>
        <w:rFonts w:hint="eastAsia"/>
      </w:rPr>
    </w:lvl>
    <w:lvl w:ilvl="1" w:tentative="0">
      <w:start w:val="1"/>
      <w:numFmt w:val="decimal"/>
      <w:suff w:val="space"/>
      <w:lvlText w:val="%2)"/>
      <w:lvlJc w:val="left"/>
      <w:pPr>
        <w:ind w:left="5240" w:hanging="4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5C946295"/>
    <w:multiLevelType w:val="singleLevel"/>
    <w:tmpl w:val="5C946295"/>
    <w:lvl w:ilvl="0" w:tentative="0">
      <w:start w:val="1"/>
      <w:numFmt w:val="decimal"/>
      <w:suff w:val="space"/>
      <w:lvlText w:val="%1."/>
      <w:lvlJc w:val="left"/>
      <w:pPr>
        <w:ind w:left="585" w:hanging="420"/>
      </w:pPr>
      <w:rPr>
        <w:rFonts w:hint="default"/>
        <w:w w:val="100"/>
      </w:rPr>
    </w:lvl>
  </w:abstractNum>
  <w:abstractNum w:abstractNumId="27">
    <w:nsid w:val="5C946299"/>
    <w:multiLevelType w:val="singleLevel"/>
    <w:tmpl w:val="5C946299"/>
    <w:lvl w:ilvl="0" w:tentative="0">
      <w:start w:val="1"/>
      <w:numFmt w:val="decimal"/>
      <w:lvlText w:val="%1."/>
      <w:lvlJc w:val="left"/>
      <w:pPr>
        <w:ind w:left="993" w:hanging="425"/>
      </w:pPr>
      <w:rPr>
        <w:rFonts w:hint="default"/>
        <w:w w:val="100"/>
      </w:rPr>
    </w:lvl>
  </w:abstractNum>
  <w:abstractNum w:abstractNumId="28">
    <w:nsid w:val="5C94629A"/>
    <w:multiLevelType w:val="singleLevel"/>
    <w:tmpl w:val="5C94629A"/>
    <w:lvl w:ilvl="0" w:tentative="0">
      <w:start w:val="1"/>
      <w:numFmt w:val="decimal"/>
      <w:suff w:val="nothing"/>
      <w:lvlText w:val="%1."/>
      <w:lvlJc w:val="left"/>
      <w:pPr>
        <w:ind w:left="360" w:hanging="425"/>
      </w:pPr>
      <w:rPr>
        <w:rFonts w:hint="default"/>
        <w:w w:val="100"/>
      </w:rPr>
    </w:lvl>
  </w:abstractNum>
  <w:abstractNum w:abstractNumId="29">
    <w:nsid w:val="5C94629B"/>
    <w:multiLevelType w:val="singleLevel"/>
    <w:tmpl w:val="5C94629B"/>
    <w:lvl w:ilvl="0" w:tentative="0">
      <w:start w:val="1"/>
      <w:numFmt w:val="decimal"/>
      <w:suff w:val="space"/>
      <w:lvlText w:val="%1."/>
      <w:lvlJc w:val="left"/>
      <w:pPr>
        <w:ind w:left="993" w:hanging="425"/>
      </w:pPr>
      <w:rPr>
        <w:rFonts w:hint="default"/>
        <w:w w:val="100"/>
      </w:rPr>
    </w:lvl>
  </w:abstractNum>
  <w:abstractNum w:abstractNumId="30">
    <w:nsid w:val="5C94629E"/>
    <w:multiLevelType w:val="singleLevel"/>
    <w:tmpl w:val="5C94629E"/>
    <w:lvl w:ilvl="0" w:tentative="0">
      <w:start w:val="1"/>
      <w:numFmt w:val="decimal"/>
      <w:lvlText w:val="%1."/>
      <w:lvlJc w:val="left"/>
      <w:pPr>
        <w:ind w:left="360" w:hanging="425"/>
      </w:pPr>
      <w:rPr>
        <w:rFonts w:hint="default"/>
        <w:w w:val="100"/>
      </w:rPr>
    </w:lvl>
  </w:abstractNum>
  <w:abstractNum w:abstractNumId="31">
    <w:nsid w:val="5C9462A0"/>
    <w:multiLevelType w:val="singleLevel"/>
    <w:tmpl w:val="5C9462A0"/>
    <w:lvl w:ilvl="0" w:tentative="0">
      <w:start w:val="1"/>
      <w:numFmt w:val="decimal"/>
      <w:lvlText w:val="%1."/>
      <w:lvlJc w:val="left"/>
      <w:pPr>
        <w:ind w:left="360" w:hanging="425"/>
      </w:pPr>
      <w:rPr>
        <w:rFonts w:hint="default"/>
        <w:b w:val="0"/>
        <w:w w:val="100"/>
      </w:rPr>
    </w:lvl>
  </w:abstractNum>
  <w:abstractNum w:abstractNumId="32">
    <w:nsid w:val="5F0C8844"/>
    <w:multiLevelType w:val="singleLevel"/>
    <w:tmpl w:val="5F0C8844"/>
    <w:lvl w:ilvl="0" w:tentative="0">
      <w:start w:val="1"/>
      <w:numFmt w:val="bullet"/>
      <w:lvlText w:val=""/>
      <w:lvlJc w:val="left"/>
      <w:pPr>
        <w:ind w:left="420" w:hanging="420"/>
      </w:pPr>
      <w:rPr>
        <w:rFonts w:hint="default" w:ascii="Wingdings" w:hAnsi="Wingdings"/>
      </w:rPr>
    </w:lvl>
  </w:abstractNum>
  <w:abstractNum w:abstractNumId="33">
    <w:nsid w:val="5F2B32CB"/>
    <w:multiLevelType w:val="multilevel"/>
    <w:tmpl w:val="5F2B32C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5F766D5F"/>
    <w:multiLevelType w:val="multilevel"/>
    <w:tmpl w:val="5F766D5F"/>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5">
    <w:nsid w:val="5F8F2949"/>
    <w:multiLevelType w:val="multilevel"/>
    <w:tmpl w:val="5F8F2949"/>
    <w:lvl w:ilvl="0" w:tentative="0">
      <w:start w:val="1"/>
      <w:numFmt w:val="bullet"/>
      <w:pStyle w:val="354"/>
      <w:lvlText w:val=""/>
      <w:lvlJc w:val="left"/>
      <w:pPr>
        <w:tabs>
          <w:tab w:val="left" w:pos="1320"/>
        </w:tabs>
        <w:ind w:left="1320" w:hanging="420"/>
      </w:pPr>
      <w:rPr>
        <w:rFonts w:hint="default" w:ascii="Wingdings" w:hAnsi="Wingdings"/>
      </w:rPr>
    </w:lvl>
    <w:lvl w:ilvl="1" w:tentative="0">
      <w:start w:val="0"/>
      <w:numFmt w:val="bullet"/>
      <w:lvlText w:val="◆"/>
      <w:lvlJc w:val="left"/>
      <w:pPr>
        <w:tabs>
          <w:tab w:val="left" w:pos="780"/>
        </w:tabs>
        <w:ind w:left="780" w:hanging="360"/>
      </w:pPr>
      <w:rPr>
        <w:rFonts w:hint="eastAsia" w:ascii="宋体" w:hAnsi="宋体" w:eastAsia="宋体" w:cs="Times New Roman"/>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6">
    <w:nsid w:val="62F9435F"/>
    <w:multiLevelType w:val="multilevel"/>
    <w:tmpl w:val="62F9435F"/>
    <w:lvl w:ilvl="0" w:tentative="0">
      <w:start w:val="1"/>
      <w:numFmt w:val="decimal"/>
      <w:suff w:val="space"/>
      <w:lvlText w:val="%1."/>
      <w:lvlJc w:val="left"/>
      <w:pPr>
        <w:ind w:left="420" w:hanging="420"/>
      </w:pPr>
      <w:rPr>
        <w:rFonts w:hint="eastAsia"/>
        <w:b w:val="0"/>
      </w:rPr>
    </w:lvl>
    <w:lvl w:ilvl="1" w:tentative="0">
      <w:start w:val="1"/>
      <w:numFmt w:val="lowerLetter"/>
      <w:lvlText w:val="%2)"/>
      <w:lvlJc w:val="left"/>
      <w:pPr>
        <w:ind w:left="0" w:hanging="420"/>
      </w:pPr>
    </w:lvl>
    <w:lvl w:ilvl="2" w:tentative="0">
      <w:start w:val="1"/>
      <w:numFmt w:val="lowerRoman"/>
      <w:lvlText w:val="%3."/>
      <w:lvlJc w:val="right"/>
      <w:pPr>
        <w:ind w:left="420" w:hanging="420"/>
      </w:pPr>
    </w:lvl>
    <w:lvl w:ilvl="3" w:tentative="0">
      <w:start w:val="1"/>
      <w:numFmt w:val="decimal"/>
      <w:lvlText w:val="%4."/>
      <w:lvlJc w:val="left"/>
      <w:pPr>
        <w:ind w:left="840" w:hanging="420"/>
      </w:pPr>
    </w:lvl>
    <w:lvl w:ilvl="4" w:tentative="0">
      <w:start w:val="1"/>
      <w:numFmt w:val="lowerLetter"/>
      <w:lvlText w:val="%5)"/>
      <w:lvlJc w:val="left"/>
      <w:pPr>
        <w:ind w:left="1260" w:hanging="420"/>
      </w:pPr>
    </w:lvl>
    <w:lvl w:ilvl="5" w:tentative="0">
      <w:start w:val="1"/>
      <w:numFmt w:val="lowerRoman"/>
      <w:lvlText w:val="%6."/>
      <w:lvlJc w:val="right"/>
      <w:pPr>
        <w:ind w:left="1680" w:hanging="420"/>
      </w:pPr>
    </w:lvl>
    <w:lvl w:ilvl="6" w:tentative="0">
      <w:start w:val="1"/>
      <w:numFmt w:val="decimal"/>
      <w:lvlText w:val="%7."/>
      <w:lvlJc w:val="left"/>
      <w:pPr>
        <w:ind w:left="2100" w:hanging="420"/>
      </w:pPr>
    </w:lvl>
    <w:lvl w:ilvl="7" w:tentative="0">
      <w:start w:val="1"/>
      <w:numFmt w:val="lowerLetter"/>
      <w:lvlText w:val="%8)"/>
      <w:lvlJc w:val="left"/>
      <w:pPr>
        <w:ind w:left="2520" w:hanging="420"/>
      </w:pPr>
    </w:lvl>
    <w:lvl w:ilvl="8" w:tentative="0">
      <w:start w:val="1"/>
      <w:numFmt w:val="lowerRoman"/>
      <w:lvlText w:val="%9."/>
      <w:lvlJc w:val="right"/>
      <w:pPr>
        <w:ind w:left="2940" w:hanging="420"/>
      </w:pPr>
    </w:lvl>
  </w:abstractNum>
  <w:abstractNum w:abstractNumId="37">
    <w:nsid w:val="63E22F95"/>
    <w:multiLevelType w:val="multilevel"/>
    <w:tmpl w:val="63E22F95"/>
    <w:lvl w:ilvl="0" w:tentative="0">
      <w:start w:val="1"/>
      <w:numFmt w:val="decimal"/>
      <w:suff w:val="space"/>
      <w:lvlText w:val="%1."/>
      <w:lvlJc w:val="left"/>
      <w:pPr>
        <w:ind w:left="892" w:hanging="420"/>
      </w:pPr>
      <w:rPr>
        <w:rFonts w:hint="default"/>
        <w:w w:val="100"/>
      </w:rPr>
    </w:lvl>
    <w:lvl w:ilvl="1" w:tentative="0">
      <w:start w:val="1"/>
      <w:numFmt w:val="lowerLetter"/>
      <w:lvlText w:val="%2)"/>
      <w:lvlJc w:val="left"/>
      <w:pPr>
        <w:ind w:left="1312" w:hanging="420"/>
      </w:pPr>
      <w:rPr>
        <w:rFonts w:hint="eastAsia"/>
      </w:rPr>
    </w:lvl>
    <w:lvl w:ilvl="2" w:tentative="0">
      <w:start w:val="1"/>
      <w:numFmt w:val="lowerRoman"/>
      <w:lvlText w:val="%3."/>
      <w:lvlJc w:val="right"/>
      <w:pPr>
        <w:ind w:left="1732" w:hanging="420"/>
      </w:pPr>
      <w:rPr>
        <w:rFonts w:hint="eastAsia"/>
      </w:rPr>
    </w:lvl>
    <w:lvl w:ilvl="3" w:tentative="0">
      <w:start w:val="1"/>
      <w:numFmt w:val="decimal"/>
      <w:lvlText w:val="%4."/>
      <w:lvlJc w:val="left"/>
      <w:pPr>
        <w:ind w:left="2152" w:hanging="420"/>
      </w:pPr>
      <w:rPr>
        <w:rFonts w:hint="eastAsia"/>
      </w:rPr>
    </w:lvl>
    <w:lvl w:ilvl="4" w:tentative="0">
      <w:start w:val="1"/>
      <w:numFmt w:val="lowerLetter"/>
      <w:lvlText w:val="%5)"/>
      <w:lvlJc w:val="left"/>
      <w:pPr>
        <w:ind w:left="2572" w:hanging="420"/>
      </w:pPr>
      <w:rPr>
        <w:rFonts w:hint="eastAsia"/>
      </w:rPr>
    </w:lvl>
    <w:lvl w:ilvl="5" w:tentative="0">
      <w:start w:val="1"/>
      <w:numFmt w:val="lowerRoman"/>
      <w:lvlText w:val="%6."/>
      <w:lvlJc w:val="right"/>
      <w:pPr>
        <w:ind w:left="2992" w:hanging="420"/>
      </w:pPr>
      <w:rPr>
        <w:rFonts w:hint="eastAsia"/>
      </w:rPr>
    </w:lvl>
    <w:lvl w:ilvl="6" w:tentative="0">
      <w:start w:val="1"/>
      <w:numFmt w:val="decimal"/>
      <w:lvlText w:val="%7."/>
      <w:lvlJc w:val="left"/>
      <w:pPr>
        <w:ind w:left="3412" w:hanging="420"/>
      </w:pPr>
      <w:rPr>
        <w:rFonts w:hint="eastAsia"/>
      </w:rPr>
    </w:lvl>
    <w:lvl w:ilvl="7" w:tentative="0">
      <w:start w:val="1"/>
      <w:numFmt w:val="lowerLetter"/>
      <w:lvlText w:val="%8)"/>
      <w:lvlJc w:val="left"/>
      <w:pPr>
        <w:ind w:left="3832" w:hanging="420"/>
      </w:pPr>
      <w:rPr>
        <w:rFonts w:hint="eastAsia"/>
      </w:rPr>
    </w:lvl>
    <w:lvl w:ilvl="8" w:tentative="0">
      <w:start w:val="1"/>
      <w:numFmt w:val="lowerRoman"/>
      <w:lvlText w:val="%9."/>
      <w:lvlJc w:val="right"/>
      <w:pPr>
        <w:ind w:left="4252" w:hanging="420"/>
      </w:pPr>
      <w:rPr>
        <w:rFonts w:hint="eastAsia"/>
      </w:rPr>
    </w:lvl>
  </w:abstractNum>
  <w:abstractNum w:abstractNumId="38">
    <w:nsid w:val="64543E22"/>
    <w:multiLevelType w:val="multilevel"/>
    <w:tmpl w:val="64543E22"/>
    <w:lvl w:ilvl="0" w:tentative="0">
      <w:start w:val="1"/>
      <w:numFmt w:val="decimal"/>
      <w:suff w:val="space"/>
      <w:lvlText w:val="%1)"/>
      <w:lvlJc w:val="left"/>
      <w:pPr>
        <w:ind w:left="70" w:hanging="420"/>
      </w:pPr>
      <w:rPr>
        <w:rFonts w:hint="eastAsia"/>
      </w:rPr>
    </w:lvl>
    <w:lvl w:ilvl="1" w:tentative="0">
      <w:start w:val="1"/>
      <w:numFmt w:val="lowerLetter"/>
      <w:lvlText w:val="%2)"/>
      <w:lvlJc w:val="left"/>
      <w:pPr>
        <w:ind w:left="490" w:hanging="420"/>
      </w:pPr>
    </w:lvl>
    <w:lvl w:ilvl="2" w:tentative="0">
      <w:start w:val="1"/>
      <w:numFmt w:val="lowerRoman"/>
      <w:lvlText w:val="%3."/>
      <w:lvlJc w:val="right"/>
      <w:pPr>
        <w:ind w:left="910" w:hanging="420"/>
      </w:pPr>
    </w:lvl>
    <w:lvl w:ilvl="3" w:tentative="0">
      <w:start w:val="1"/>
      <w:numFmt w:val="decimal"/>
      <w:lvlText w:val="%4."/>
      <w:lvlJc w:val="left"/>
      <w:pPr>
        <w:ind w:left="1330" w:hanging="420"/>
      </w:pPr>
    </w:lvl>
    <w:lvl w:ilvl="4" w:tentative="0">
      <w:start w:val="1"/>
      <w:numFmt w:val="lowerLetter"/>
      <w:lvlText w:val="%5)"/>
      <w:lvlJc w:val="left"/>
      <w:pPr>
        <w:ind w:left="1750" w:hanging="420"/>
      </w:pPr>
    </w:lvl>
    <w:lvl w:ilvl="5" w:tentative="0">
      <w:start w:val="1"/>
      <w:numFmt w:val="lowerRoman"/>
      <w:lvlText w:val="%6."/>
      <w:lvlJc w:val="right"/>
      <w:pPr>
        <w:ind w:left="2170" w:hanging="420"/>
      </w:pPr>
    </w:lvl>
    <w:lvl w:ilvl="6" w:tentative="0">
      <w:start w:val="1"/>
      <w:numFmt w:val="decimal"/>
      <w:lvlText w:val="%7."/>
      <w:lvlJc w:val="left"/>
      <w:pPr>
        <w:ind w:left="2590" w:hanging="420"/>
      </w:pPr>
    </w:lvl>
    <w:lvl w:ilvl="7" w:tentative="0">
      <w:start w:val="1"/>
      <w:numFmt w:val="lowerLetter"/>
      <w:lvlText w:val="%8)"/>
      <w:lvlJc w:val="left"/>
      <w:pPr>
        <w:ind w:left="3010" w:hanging="420"/>
      </w:pPr>
    </w:lvl>
    <w:lvl w:ilvl="8" w:tentative="0">
      <w:start w:val="1"/>
      <w:numFmt w:val="lowerRoman"/>
      <w:lvlText w:val="%9."/>
      <w:lvlJc w:val="right"/>
      <w:pPr>
        <w:ind w:left="3430" w:hanging="420"/>
      </w:pPr>
    </w:lvl>
  </w:abstractNum>
  <w:abstractNum w:abstractNumId="39">
    <w:nsid w:val="70C628C0"/>
    <w:multiLevelType w:val="multilevel"/>
    <w:tmpl w:val="70C628C0"/>
    <w:lvl w:ilvl="0" w:tentative="0">
      <w:start w:val="1"/>
      <w:numFmt w:val="decimal"/>
      <w:suff w:val="space"/>
      <w:lvlText w:val="%1."/>
      <w:lvlJc w:val="left"/>
      <w:pPr>
        <w:ind w:left="420" w:hanging="420"/>
      </w:pPr>
      <w:rPr>
        <w:rFonts w:hint="default"/>
        <w:w w:val="10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0">
    <w:nsid w:val="78D97DE5"/>
    <w:multiLevelType w:val="multilevel"/>
    <w:tmpl w:val="78D97DE5"/>
    <w:lvl w:ilvl="0" w:tentative="0">
      <w:start w:val="1"/>
      <w:numFmt w:val="decimal"/>
      <w:suff w:val="space"/>
      <w:lvlText w:val="%1."/>
      <w:lvlJc w:val="left"/>
      <w:pPr>
        <w:ind w:left="420" w:hanging="420"/>
      </w:pPr>
      <w:rPr>
        <w:rFonts w:hint="default"/>
        <w:w w:val="10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1">
    <w:nsid w:val="78E787C8"/>
    <w:multiLevelType w:val="singleLevel"/>
    <w:tmpl w:val="78E787C8"/>
    <w:lvl w:ilvl="0" w:tentative="0">
      <w:start w:val="1"/>
      <w:numFmt w:val="decimal"/>
      <w:suff w:val="nothing"/>
      <w:lvlText w:val="（%1）"/>
      <w:lvlJc w:val="left"/>
    </w:lvl>
  </w:abstractNum>
  <w:abstractNum w:abstractNumId="42">
    <w:nsid w:val="7A0F6794"/>
    <w:multiLevelType w:val="multilevel"/>
    <w:tmpl w:val="7A0F6794"/>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3">
    <w:nsid w:val="7BCD3F17"/>
    <w:multiLevelType w:val="multilevel"/>
    <w:tmpl w:val="7BCD3F17"/>
    <w:lvl w:ilvl="0" w:tentative="0">
      <w:start w:val="13"/>
      <w:numFmt w:val="chineseCountingThousand"/>
      <w:lvlText w:val="%1、"/>
      <w:lvlJc w:val="left"/>
      <w:pPr>
        <w:ind w:left="4531" w:hanging="420"/>
      </w:pPr>
      <w:rPr>
        <w:rFonts w:hint="eastAsia"/>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19"/>
  </w:num>
  <w:num w:numId="2">
    <w:abstractNumId w:val="1"/>
  </w:num>
  <w:num w:numId="3">
    <w:abstractNumId w:val="4"/>
  </w:num>
  <w:num w:numId="4">
    <w:abstractNumId w:val="6"/>
  </w:num>
  <w:num w:numId="5">
    <w:abstractNumId w:val="35"/>
  </w:num>
  <w:num w:numId="6">
    <w:abstractNumId w:val="18"/>
  </w:num>
  <w:num w:numId="7">
    <w:abstractNumId w:val="16"/>
  </w:num>
  <w:num w:numId="8">
    <w:abstractNumId w:val="0"/>
  </w:num>
  <w:num w:numId="9">
    <w:abstractNumId w:val="14"/>
  </w:num>
  <w:num w:numId="10">
    <w:abstractNumId w:val="41"/>
  </w:num>
  <w:num w:numId="11">
    <w:abstractNumId w:val="7"/>
  </w:num>
  <w:num w:numId="12">
    <w:abstractNumId w:val="32"/>
  </w:num>
  <w:num w:numId="13">
    <w:abstractNumId w:val="12"/>
  </w:num>
  <w:num w:numId="14">
    <w:abstractNumId w:val="26"/>
  </w:num>
  <w:num w:numId="15">
    <w:abstractNumId w:val="5"/>
  </w:num>
  <w:num w:numId="16">
    <w:abstractNumId w:val="9"/>
  </w:num>
  <w:num w:numId="17">
    <w:abstractNumId w:val="10"/>
  </w:num>
  <w:num w:numId="18">
    <w:abstractNumId w:val="24"/>
  </w:num>
  <w:num w:numId="19">
    <w:abstractNumId w:val="39"/>
  </w:num>
  <w:num w:numId="20">
    <w:abstractNumId w:val="40"/>
  </w:num>
  <w:num w:numId="21">
    <w:abstractNumId w:val="33"/>
  </w:num>
  <w:num w:numId="22">
    <w:abstractNumId w:val="20"/>
  </w:num>
  <w:num w:numId="23">
    <w:abstractNumId w:val="37"/>
  </w:num>
  <w:num w:numId="24">
    <w:abstractNumId w:val="2"/>
  </w:num>
  <w:num w:numId="25">
    <w:abstractNumId w:val="22"/>
  </w:num>
  <w:num w:numId="26">
    <w:abstractNumId w:val="11"/>
  </w:num>
  <w:num w:numId="27">
    <w:abstractNumId w:val="21"/>
  </w:num>
  <w:num w:numId="28">
    <w:abstractNumId w:val="3"/>
  </w:num>
  <w:num w:numId="29">
    <w:abstractNumId w:val="27"/>
  </w:num>
  <w:num w:numId="30">
    <w:abstractNumId w:val="38"/>
  </w:num>
  <w:num w:numId="31">
    <w:abstractNumId w:val="34"/>
  </w:num>
  <w:num w:numId="32">
    <w:abstractNumId w:val="28"/>
  </w:num>
  <w:num w:numId="33">
    <w:abstractNumId w:val="29"/>
  </w:num>
  <w:num w:numId="34">
    <w:abstractNumId w:val="36"/>
  </w:num>
  <w:num w:numId="35">
    <w:abstractNumId w:val="17"/>
  </w:num>
  <w:num w:numId="36">
    <w:abstractNumId w:val="42"/>
  </w:num>
  <w:num w:numId="37">
    <w:abstractNumId w:val="30"/>
  </w:num>
  <w:num w:numId="38">
    <w:abstractNumId w:val="13"/>
  </w:num>
  <w:num w:numId="39">
    <w:abstractNumId w:val="25"/>
  </w:num>
  <w:num w:numId="40">
    <w:abstractNumId w:val="23"/>
  </w:num>
  <w:num w:numId="41">
    <w:abstractNumId w:val="8"/>
  </w:num>
  <w:num w:numId="42">
    <w:abstractNumId w:val="31"/>
  </w:num>
  <w:num w:numId="43">
    <w:abstractNumId w:val="43"/>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E20"/>
    <w:rsid w:val="000067DE"/>
    <w:rsid w:val="00014739"/>
    <w:rsid w:val="000357D0"/>
    <w:rsid w:val="00044D0E"/>
    <w:rsid w:val="000547A0"/>
    <w:rsid w:val="00063F38"/>
    <w:rsid w:val="000705B2"/>
    <w:rsid w:val="00074BD7"/>
    <w:rsid w:val="000815B2"/>
    <w:rsid w:val="000862AE"/>
    <w:rsid w:val="0008798B"/>
    <w:rsid w:val="00093138"/>
    <w:rsid w:val="000B5EBE"/>
    <w:rsid w:val="000C2A45"/>
    <w:rsid w:val="000C3954"/>
    <w:rsid w:val="000C4FEF"/>
    <w:rsid w:val="000D5274"/>
    <w:rsid w:val="000E2D27"/>
    <w:rsid w:val="000E2D5E"/>
    <w:rsid w:val="000E6D8D"/>
    <w:rsid w:val="000E6EB6"/>
    <w:rsid w:val="00111CD1"/>
    <w:rsid w:val="00181262"/>
    <w:rsid w:val="00185B6E"/>
    <w:rsid w:val="001A7213"/>
    <w:rsid w:val="001B0771"/>
    <w:rsid w:val="001B29F1"/>
    <w:rsid w:val="001B2D12"/>
    <w:rsid w:val="001B7878"/>
    <w:rsid w:val="001C515E"/>
    <w:rsid w:val="001C63A9"/>
    <w:rsid w:val="001D4FF8"/>
    <w:rsid w:val="00214EA1"/>
    <w:rsid w:val="00215B43"/>
    <w:rsid w:val="00226306"/>
    <w:rsid w:val="0023055B"/>
    <w:rsid w:val="00242160"/>
    <w:rsid w:val="002441EC"/>
    <w:rsid w:val="00251B89"/>
    <w:rsid w:val="00255367"/>
    <w:rsid w:val="00263EE3"/>
    <w:rsid w:val="0028037F"/>
    <w:rsid w:val="00286E20"/>
    <w:rsid w:val="00290AE0"/>
    <w:rsid w:val="00295607"/>
    <w:rsid w:val="00297778"/>
    <w:rsid w:val="002C0176"/>
    <w:rsid w:val="002C6831"/>
    <w:rsid w:val="002D04B6"/>
    <w:rsid w:val="002F7C16"/>
    <w:rsid w:val="00302C1A"/>
    <w:rsid w:val="00310EA0"/>
    <w:rsid w:val="00322A5A"/>
    <w:rsid w:val="00330BD4"/>
    <w:rsid w:val="00332E70"/>
    <w:rsid w:val="003477E6"/>
    <w:rsid w:val="00356166"/>
    <w:rsid w:val="0036547F"/>
    <w:rsid w:val="00392C0F"/>
    <w:rsid w:val="003A2A91"/>
    <w:rsid w:val="003B2C2A"/>
    <w:rsid w:val="003B3C12"/>
    <w:rsid w:val="003C0D6B"/>
    <w:rsid w:val="003C32E3"/>
    <w:rsid w:val="003D0500"/>
    <w:rsid w:val="003D1004"/>
    <w:rsid w:val="003D7BE3"/>
    <w:rsid w:val="003E1994"/>
    <w:rsid w:val="003E3764"/>
    <w:rsid w:val="004016CC"/>
    <w:rsid w:val="004173D2"/>
    <w:rsid w:val="004261A6"/>
    <w:rsid w:val="0043273D"/>
    <w:rsid w:val="00463FF7"/>
    <w:rsid w:val="00466B20"/>
    <w:rsid w:val="0047165E"/>
    <w:rsid w:val="00483C10"/>
    <w:rsid w:val="00485013"/>
    <w:rsid w:val="00492370"/>
    <w:rsid w:val="004E4132"/>
    <w:rsid w:val="004F1AB9"/>
    <w:rsid w:val="00515017"/>
    <w:rsid w:val="00521B85"/>
    <w:rsid w:val="0052672D"/>
    <w:rsid w:val="0054501B"/>
    <w:rsid w:val="005523AE"/>
    <w:rsid w:val="00552619"/>
    <w:rsid w:val="0055429A"/>
    <w:rsid w:val="00556B33"/>
    <w:rsid w:val="00562B66"/>
    <w:rsid w:val="00575942"/>
    <w:rsid w:val="00575AB7"/>
    <w:rsid w:val="005820BB"/>
    <w:rsid w:val="00584D69"/>
    <w:rsid w:val="0059695E"/>
    <w:rsid w:val="005A21CC"/>
    <w:rsid w:val="005A6DB6"/>
    <w:rsid w:val="005B652B"/>
    <w:rsid w:val="005D2FAA"/>
    <w:rsid w:val="005D5271"/>
    <w:rsid w:val="005F28B8"/>
    <w:rsid w:val="00607212"/>
    <w:rsid w:val="0061119A"/>
    <w:rsid w:val="00613539"/>
    <w:rsid w:val="00615248"/>
    <w:rsid w:val="006259B4"/>
    <w:rsid w:val="006419B3"/>
    <w:rsid w:val="00651073"/>
    <w:rsid w:val="00653179"/>
    <w:rsid w:val="006535A3"/>
    <w:rsid w:val="00676BA9"/>
    <w:rsid w:val="00683113"/>
    <w:rsid w:val="00692C55"/>
    <w:rsid w:val="00697589"/>
    <w:rsid w:val="006A2085"/>
    <w:rsid w:val="006A3EDC"/>
    <w:rsid w:val="006A65D4"/>
    <w:rsid w:val="006A6956"/>
    <w:rsid w:val="006B5D6E"/>
    <w:rsid w:val="006C3244"/>
    <w:rsid w:val="006F1306"/>
    <w:rsid w:val="00717EC7"/>
    <w:rsid w:val="007272F5"/>
    <w:rsid w:val="00735076"/>
    <w:rsid w:val="007553DF"/>
    <w:rsid w:val="007573B7"/>
    <w:rsid w:val="00772BBD"/>
    <w:rsid w:val="0077309C"/>
    <w:rsid w:val="0078142C"/>
    <w:rsid w:val="00797C50"/>
    <w:rsid w:val="007D77DA"/>
    <w:rsid w:val="007F03DD"/>
    <w:rsid w:val="00807668"/>
    <w:rsid w:val="00810B0E"/>
    <w:rsid w:val="00811788"/>
    <w:rsid w:val="00813F64"/>
    <w:rsid w:val="0085497F"/>
    <w:rsid w:val="00855092"/>
    <w:rsid w:val="008557AD"/>
    <w:rsid w:val="00857789"/>
    <w:rsid w:val="00860D82"/>
    <w:rsid w:val="0089006B"/>
    <w:rsid w:val="008B18E0"/>
    <w:rsid w:val="008B54EA"/>
    <w:rsid w:val="008C7444"/>
    <w:rsid w:val="008E5D0F"/>
    <w:rsid w:val="008E70C7"/>
    <w:rsid w:val="008E7492"/>
    <w:rsid w:val="008F079A"/>
    <w:rsid w:val="00901BA3"/>
    <w:rsid w:val="00904011"/>
    <w:rsid w:val="00914182"/>
    <w:rsid w:val="00926A67"/>
    <w:rsid w:val="00927F52"/>
    <w:rsid w:val="00944617"/>
    <w:rsid w:val="009465D7"/>
    <w:rsid w:val="00955B24"/>
    <w:rsid w:val="00962B40"/>
    <w:rsid w:val="00964A41"/>
    <w:rsid w:val="00973E92"/>
    <w:rsid w:val="00974C52"/>
    <w:rsid w:val="0098230E"/>
    <w:rsid w:val="009A1A08"/>
    <w:rsid w:val="009A2948"/>
    <w:rsid w:val="009B58C5"/>
    <w:rsid w:val="009C4780"/>
    <w:rsid w:val="009E47CD"/>
    <w:rsid w:val="00A03FBB"/>
    <w:rsid w:val="00A05B44"/>
    <w:rsid w:val="00A20CD3"/>
    <w:rsid w:val="00A21787"/>
    <w:rsid w:val="00A25E1D"/>
    <w:rsid w:val="00A31AC5"/>
    <w:rsid w:val="00A417CA"/>
    <w:rsid w:val="00A60102"/>
    <w:rsid w:val="00A63293"/>
    <w:rsid w:val="00A65F06"/>
    <w:rsid w:val="00A9421D"/>
    <w:rsid w:val="00AA6169"/>
    <w:rsid w:val="00AB108E"/>
    <w:rsid w:val="00AD2C6C"/>
    <w:rsid w:val="00AD3D41"/>
    <w:rsid w:val="00AE06BC"/>
    <w:rsid w:val="00AE3D58"/>
    <w:rsid w:val="00AF0BAF"/>
    <w:rsid w:val="00AF1DA5"/>
    <w:rsid w:val="00B00B07"/>
    <w:rsid w:val="00B038C1"/>
    <w:rsid w:val="00B1558D"/>
    <w:rsid w:val="00B166B3"/>
    <w:rsid w:val="00B32A27"/>
    <w:rsid w:val="00B36827"/>
    <w:rsid w:val="00B43359"/>
    <w:rsid w:val="00B55D72"/>
    <w:rsid w:val="00B76452"/>
    <w:rsid w:val="00B801A8"/>
    <w:rsid w:val="00B95864"/>
    <w:rsid w:val="00BA131A"/>
    <w:rsid w:val="00BA35EE"/>
    <w:rsid w:val="00BA4215"/>
    <w:rsid w:val="00BA5171"/>
    <w:rsid w:val="00BB2281"/>
    <w:rsid w:val="00BB7C92"/>
    <w:rsid w:val="00BC2F41"/>
    <w:rsid w:val="00BD6154"/>
    <w:rsid w:val="00BD75EE"/>
    <w:rsid w:val="00BE29CC"/>
    <w:rsid w:val="00BE2B40"/>
    <w:rsid w:val="00BE5423"/>
    <w:rsid w:val="00BE5BA7"/>
    <w:rsid w:val="00C047BA"/>
    <w:rsid w:val="00C05B5B"/>
    <w:rsid w:val="00C20D23"/>
    <w:rsid w:val="00C33E12"/>
    <w:rsid w:val="00C57B49"/>
    <w:rsid w:val="00C60D64"/>
    <w:rsid w:val="00C61579"/>
    <w:rsid w:val="00C77D00"/>
    <w:rsid w:val="00C91D19"/>
    <w:rsid w:val="00C9672A"/>
    <w:rsid w:val="00CB15B8"/>
    <w:rsid w:val="00CB1AB4"/>
    <w:rsid w:val="00CD79E6"/>
    <w:rsid w:val="00CE52F9"/>
    <w:rsid w:val="00CF3A05"/>
    <w:rsid w:val="00CF4E22"/>
    <w:rsid w:val="00D02FA0"/>
    <w:rsid w:val="00D04648"/>
    <w:rsid w:val="00D04EC1"/>
    <w:rsid w:val="00D31A5D"/>
    <w:rsid w:val="00D34DC8"/>
    <w:rsid w:val="00D36615"/>
    <w:rsid w:val="00D4239B"/>
    <w:rsid w:val="00D5617E"/>
    <w:rsid w:val="00D56F98"/>
    <w:rsid w:val="00D8783C"/>
    <w:rsid w:val="00DB4762"/>
    <w:rsid w:val="00DE77DD"/>
    <w:rsid w:val="00DE79F9"/>
    <w:rsid w:val="00DF172B"/>
    <w:rsid w:val="00DF5259"/>
    <w:rsid w:val="00DF69D8"/>
    <w:rsid w:val="00DF6D8F"/>
    <w:rsid w:val="00E11F62"/>
    <w:rsid w:val="00E16101"/>
    <w:rsid w:val="00E208E5"/>
    <w:rsid w:val="00E50DDE"/>
    <w:rsid w:val="00E52B12"/>
    <w:rsid w:val="00E53221"/>
    <w:rsid w:val="00E55780"/>
    <w:rsid w:val="00E5730C"/>
    <w:rsid w:val="00E71DCE"/>
    <w:rsid w:val="00E75099"/>
    <w:rsid w:val="00E7695A"/>
    <w:rsid w:val="00E866F8"/>
    <w:rsid w:val="00EB1E75"/>
    <w:rsid w:val="00EB7003"/>
    <w:rsid w:val="00ED396D"/>
    <w:rsid w:val="00EF1628"/>
    <w:rsid w:val="00F02D21"/>
    <w:rsid w:val="00F100B0"/>
    <w:rsid w:val="00F20222"/>
    <w:rsid w:val="00F33A0D"/>
    <w:rsid w:val="00F42E9B"/>
    <w:rsid w:val="00F475D0"/>
    <w:rsid w:val="00F60208"/>
    <w:rsid w:val="00F619D5"/>
    <w:rsid w:val="00FB5F93"/>
    <w:rsid w:val="00FC0765"/>
    <w:rsid w:val="00FC096D"/>
    <w:rsid w:val="00FC77D5"/>
    <w:rsid w:val="00FD691D"/>
    <w:rsid w:val="00FE0FB0"/>
    <w:rsid w:val="00FE1510"/>
    <w:rsid w:val="044F49EE"/>
    <w:rsid w:val="0A1F69F7"/>
    <w:rsid w:val="0AB0265F"/>
    <w:rsid w:val="0B625E39"/>
    <w:rsid w:val="0D203981"/>
    <w:rsid w:val="0F6752E4"/>
    <w:rsid w:val="11030DBD"/>
    <w:rsid w:val="15B40A6B"/>
    <w:rsid w:val="16B0685A"/>
    <w:rsid w:val="17A05C63"/>
    <w:rsid w:val="19C00839"/>
    <w:rsid w:val="1A054B3F"/>
    <w:rsid w:val="1C1005C5"/>
    <w:rsid w:val="1D232E50"/>
    <w:rsid w:val="1EA178FC"/>
    <w:rsid w:val="210500DE"/>
    <w:rsid w:val="216C13A8"/>
    <w:rsid w:val="289D622A"/>
    <w:rsid w:val="2AF80431"/>
    <w:rsid w:val="2D7A66E8"/>
    <w:rsid w:val="2F866E22"/>
    <w:rsid w:val="322F45F9"/>
    <w:rsid w:val="325F4B23"/>
    <w:rsid w:val="32963E1D"/>
    <w:rsid w:val="329F7E09"/>
    <w:rsid w:val="334B70FB"/>
    <w:rsid w:val="341B53D8"/>
    <w:rsid w:val="341C1760"/>
    <w:rsid w:val="34FC225A"/>
    <w:rsid w:val="357416F0"/>
    <w:rsid w:val="365407B2"/>
    <w:rsid w:val="3815490D"/>
    <w:rsid w:val="3A484EFD"/>
    <w:rsid w:val="3C9427FB"/>
    <w:rsid w:val="3D0B4286"/>
    <w:rsid w:val="3E2D3BB9"/>
    <w:rsid w:val="408A1AD2"/>
    <w:rsid w:val="44ED245B"/>
    <w:rsid w:val="46431E9B"/>
    <w:rsid w:val="52233F9E"/>
    <w:rsid w:val="52CE4568"/>
    <w:rsid w:val="53C444D5"/>
    <w:rsid w:val="55972629"/>
    <w:rsid w:val="55E15C6D"/>
    <w:rsid w:val="579C6453"/>
    <w:rsid w:val="5C450498"/>
    <w:rsid w:val="5CAE04F8"/>
    <w:rsid w:val="61CF72AE"/>
    <w:rsid w:val="64BC2546"/>
    <w:rsid w:val="654D750A"/>
    <w:rsid w:val="66E86F9C"/>
    <w:rsid w:val="68AB281E"/>
    <w:rsid w:val="690A279D"/>
    <w:rsid w:val="6D161E2D"/>
    <w:rsid w:val="6D954EAB"/>
    <w:rsid w:val="70410C8F"/>
    <w:rsid w:val="70CC2132"/>
    <w:rsid w:val="73B33715"/>
    <w:rsid w:val="78CF96CC"/>
    <w:rsid w:val="79AB0EC3"/>
    <w:rsid w:val="79AD5428"/>
    <w:rsid w:val="79D46000"/>
    <w:rsid w:val="7AB6798E"/>
    <w:rsid w:val="7DE56F78"/>
    <w:rsid w:val="7E836322"/>
    <w:rsid w:val="7FAC4BA4"/>
    <w:rsid w:val="97CDC2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qFormat="1" w:unhideWhenUsed="0" w:uiPriority="0" w:semiHidden="0" w:name="List Bullet"/>
    <w:lsdException w:uiPriority="99" w:name="List Number"/>
    <w:lsdException w:qFormat="1" w:unhideWhenUsed="0" w:uiPriority="0" w:semiHidden="0" w:name="List 2"/>
    <w:lsdException w:qFormat="1" w:unhideWhenUsed="0" w:uiPriority="0" w:semiHidden="0" w:name="List 3"/>
    <w:lsdException w:uiPriority="99" w:name="List 4"/>
    <w:lsdException w:uiPriority="99"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nhideWhenUsed="0" w:uiPriority="0" w:semiHidden="0" w:name="HTML Preformatted"/>
    <w:lsdException w:qFormat="1" w:uiPriority="99" w:semiHidden="0" w:name="HTML Sample"/>
    <w:lsdException w:uiPriority="99" w:name="HTML Typewriter"/>
    <w:lsdException w:qFormat="1" w:uiPriority="99"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150"/>
    <w:qFormat/>
    <w:uiPriority w:val="0"/>
    <w:pPr>
      <w:keepNext/>
      <w:keepLines/>
      <w:spacing w:before="340" w:after="330" w:line="578" w:lineRule="auto"/>
      <w:ind w:left="420"/>
      <w:jc w:val="center"/>
      <w:outlineLvl w:val="0"/>
    </w:pPr>
    <w:rPr>
      <w:b/>
      <w:bCs/>
      <w:kern w:val="44"/>
      <w:sz w:val="44"/>
      <w:szCs w:val="44"/>
      <w:lang w:val="zh-CN"/>
    </w:rPr>
  </w:style>
  <w:style w:type="paragraph" w:styleId="5">
    <w:name w:val="heading 2"/>
    <w:basedOn w:val="1"/>
    <w:next w:val="1"/>
    <w:link w:val="92"/>
    <w:qFormat/>
    <w:uiPriority w:val="0"/>
    <w:pPr>
      <w:keepNext/>
      <w:keepLines/>
      <w:tabs>
        <w:tab w:val="left" w:pos="2410"/>
      </w:tabs>
      <w:spacing w:before="120" w:after="120" w:line="416" w:lineRule="auto"/>
      <w:outlineLvl w:val="1"/>
    </w:pPr>
    <w:rPr>
      <w:rFonts w:ascii="Arial" w:hAnsi="Arial" w:eastAsia="黑体"/>
      <w:bCs/>
      <w:sz w:val="32"/>
      <w:szCs w:val="32"/>
      <w:lang w:val="zh-CN"/>
    </w:rPr>
  </w:style>
  <w:style w:type="paragraph" w:styleId="6">
    <w:name w:val="heading 3"/>
    <w:basedOn w:val="1"/>
    <w:next w:val="1"/>
    <w:link w:val="199"/>
    <w:qFormat/>
    <w:uiPriority w:val="0"/>
    <w:pPr>
      <w:keepNext/>
      <w:keepLines/>
      <w:spacing w:before="260" w:after="260" w:line="416" w:lineRule="auto"/>
      <w:outlineLvl w:val="2"/>
    </w:pPr>
    <w:rPr>
      <w:b/>
      <w:bCs/>
      <w:sz w:val="32"/>
      <w:szCs w:val="32"/>
      <w:lang w:val="zh-CN"/>
    </w:rPr>
  </w:style>
  <w:style w:type="paragraph" w:styleId="7">
    <w:name w:val="heading 4"/>
    <w:basedOn w:val="1"/>
    <w:next w:val="8"/>
    <w:link w:val="219"/>
    <w:qFormat/>
    <w:uiPriority w:val="0"/>
    <w:pPr>
      <w:keepNext/>
      <w:keepLines/>
      <w:spacing w:before="280" w:after="290" w:line="376" w:lineRule="auto"/>
      <w:outlineLvl w:val="3"/>
    </w:pPr>
    <w:rPr>
      <w:rFonts w:ascii="Arial" w:hAnsi="Arial" w:eastAsia="黑体"/>
      <w:b/>
      <w:bCs/>
      <w:sz w:val="28"/>
      <w:szCs w:val="28"/>
      <w:lang w:val="zh-CN"/>
    </w:rPr>
  </w:style>
  <w:style w:type="paragraph" w:styleId="9">
    <w:name w:val="heading 5"/>
    <w:basedOn w:val="1"/>
    <w:next w:val="1"/>
    <w:link w:val="116"/>
    <w:qFormat/>
    <w:uiPriority w:val="0"/>
    <w:pPr>
      <w:keepNext/>
      <w:keepLines/>
      <w:spacing w:before="280" w:after="290" w:line="372" w:lineRule="auto"/>
      <w:outlineLvl w:val="4"/>
    </w:pPr>
    <w:rPr>
      <w:rFonts w:ascii="Calibri" w:hAnsi="Calibri"/>
      <w:b/>
      <w:bCs/>
      <w:sz w:val="28"/>
      <w:szCs w:val="28"/>
      <w:lang w:val="zh-CN"/>
    </w:rPr>
  </w:style>
  <w:style w:type="paragraph" w:styleId="10">
    <w:name w:val="heading 6"/>
    <w:basedOn w:val="1"/>
    <w:next w:val="1"/>
    <w:link w:val="153"/>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szCs w:val="24"/>
      <w:lang w:val="zh-CN"/>
    </w:rPr>
  </w:style>
  <w:style w:type="paragraph" w:styleId="11">
    <w:name w:val="heading 7"/>
    <w:basedOn w:val="1"/>
    <w:next w:val="1"/>
    <w:link w:val="118"/>
    <w:qFormat/>
    <w:uiPriority w:val="0"/>
    <w:pPr>
      <w:keepNext/>
      <w:keepLines/>
      <w:widowControl/>
      <w:tabs>
        <w:tab w:val="left" w:pos="2520"/>
      </w:tabs>
      <w:spacing w:before="240" w:after="64" w:line="320" w:lineRule="auto"/>
      <w:ind w:left="1296" w:hanging="1296"/>
      <w:jc w:val="left"/>
      <w:outlineLvl w:val="6"/>
    </w:pPr>
    <w:rPr>
      <w:b/>
      <w:bCs/>
      <w:kern w:val="0"/>
      <w:sz w:val="24"/>
      <w:szCs w:val="24"/>
      <w:lang w:val="zh-CN"/>
    </w:rPr>
  </w:style>
  <w:style w:type="paragraph" w:styleId="12">
    <w:name w:val="heading 8"/>
    <w:basedOn w:val="1"/>
    <w:next w:val="1"/>
    <w:link w:val="176"/>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szCs w:val="24"/>
      <w:lang w:val="zh-CN"/>
    </w:rPr>
  </w:style>
  <w:style w:type="paragraph" w:styleId="13">
    <w:name w:val="heading 9"/>
    <w:basedOn w:val="1"/>
    <w:next w:val="1"/>
    <w:link w:val="136"/>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lang w:val="zh-CN"/>
    </w:rPr>
  </w:style>
  <w:style w:type="character" w:default="1" w:styleId="58">
    <w:name w:val="Default Paragraph Font"/>
    <w:semiHidden/>
    <w:unhideWhenUsed/>
    <w:uiPriority w:val="1"/>
  </w:style>
  <w:style w:type="table" w:default="1" w:styleId="56">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basedOn w:val="1"/>
    <w:next w:val="3"/>
    <w:qFormat/>
    <w:uiPriority w:val="0"/>
    <w:pPr>
      <w:keepNext/>
      <w:keepLines/>
      <w:numPr>
        <w:ilvl w:val="4"/>
        <w:numId w:val="1"/>
      </w:numPr>
      <w:spacing w:before="280" w:after="156" w:line="377" w:lineRule="auto"/>
      <w:jc w:val="left"/>
      <w:outlineLvl w:val="4"/>
    </w:pPr>
    <w:rPr>
      <w:rFonts w:ascii="Arial" w:hAnsi="Arial" w:eastAsia="黑体"/>
      <w:b/>
      <w:sz w:val="24"/>
      <w:szCs w:val="28"/>
    </w:rPr>
  </w:style>
  <w:style w:type="paragraph" w:customStyle="1" w:styleId="3">
    <w:name w:val="正文（绿盟科技）"/>
    <w:qFormat/>
    <w:uiPriority w:val="0"/>
    <w:pPr>
      <w:spacing w:line="300" w:lineRule="auto"/>
    </w:pPr>
    <w:rPr>
      <w:rFonts w:ascii="Arial" w:hAnsi="Arial" w:eastAsia="宋体" w:cs="黑体"/>
      <w:sz w:val="21"/>
      <w:szCs w:val="21"/>
      <w:lang w:val="en-US" w:eastAsia="zh-CN" w:bidi="ar-SA"/>
    </w:rPr>
  </w:style>
  <w:style w:type="paragraph" w:styleId="8">
    <w:name w:val="Normal Indent"/>
    <w:basedOn w:val="1"/>
    <w:link w:val="187"/>
    <w:qFormat/>
    <w:uiPriority w:val="0"/>
    <w:pPr>
      <w:adjustRightInd w:val="0"/>
      <w:spacing w:line="360" w:lineRule="atLeast"/>
      <w:ind w:firstLine="482"/>
    </w:pPr>
    <w:rPr>
      <w:rFonts w:asciiTheme="minorHAnsi" w:hAnsiTheme="minorHAnsi" w:cstheme="minorBidi"/>
      <w:sz w:val="24"/>
      <w:szCs w:val="24"/>
    </w:rPr>
  </w:style>
  <w:style w:type="paragraph" w:styleId="14">
    <w:name w:val="List 3"/>
    <w:basedOn w:val="1"/>
    <w:qFormat/>
    <w:uiPriority w:val="0"/>
    <w:pPr>
      <w:ind w:left="100" w:leftChars="400" w:hanging="200" w:hangingChars="200"/>
    </w:pPr>
    <w:rPr>
      <w:szCs w:val="24"/>
    </w:rPr>
  </w:style>
  <w:style w:type="paragraph" w:styleId="15">
    <w:name w:val="toc 7"/>
    <w:basedOn w:val="1"/>
    <w:next w:val="1"/>
    <w:qFormat/>
    <w:uiPriority w:val="0"/>
    <w:pPr>
      <w:ind w:left="2520" w:leftChars="1200"/>
    </w:pPr>
    <w:rPr>
      <w:rFonts w:ascii="Calibri" w:hAnsi="Calibri"/>
      <w:szCs w:val="22"/>
    </w:rPr>
  </w:style>
  <w:style w:type="paragraph" w:styleId="16">
    <w:name w:val="caption"/>
    <w:basedOn w:val="1"/>
    <w:next w:val="1"/>
    <w:qFormat/>
    <w:uiPriority w:val="0"/>
    <w:rPr>
      <w:rFonts w:ascii="Cambria" w:hAnsi="Cambria" w:eastAsia="黑体"/>
      <w:sz w:val="20"/>
    </w:rPr>
  </w:style>
  <w:style w:type="paragraph" w:styleId="17">
    <w:name w:val="List Bullet"/>
    <w:basedOn w:val="1"/>
    <w:qFormat/>
    <w:uiPriority w:val="0"/>
    <w:pPr>
      <w:tabs>
        <w:tab w:val="left" w:pos="1418"/>
      </w:tabs>
      <w:spacing w:line="360" w:lineRule="auto"/>
      <w:ind w:left="1418" w:hanging="397"/>
    </w:pPr>
    <w:rPr>
      <w:sz w:val="24"/>
      <w:szCs w:val="24"/>
    </w:rPr>
  </w:style>
  <w:style w:type="paragraph" w:styleId="18">
    <w:name w:val="Document Map"/>
    <w:basedOn w:val="1"/>
    <w:link w:val="203"/>
    <w:qFormat/>
    <w:uiPriority w:val="0"/>
    <w:pPr>
      <w:shd w:val="clear" w:color="auto" w:fill="000080"/>
    </w:pPr>
    <w:rPr>
      <w:rFonts w:asciiTheme="minorHAnsi" w:hAnsiTheme="minorHAnsi" w:eastAsiaTheme="minorEastAsia" w:cstheme="minorBidi"/>
      <w:szCs w:val="22"/>
    </w:rPr>
  </w:style>
  <w:style w:type="paragraph" w:styleId="19">
    <w:name w:val="toa heading"/>
    <w:basedOn w:val="1"/>
    <w:next w:val="1"/>
    <w:qFormat/>
    <w:uiPriority w:val="0"/>
    <w:pPr>
      <w:adjustRightInd w:val="0"/>
      <w:spacing w:line="360" w:lineRule="atLeast"/>
      <w:jc w:val="center"/>
      <w:textAlignment w:val="baseline"/>
    </w:pPr>
    <w:rPr>
      <w:rFonts w:ascii="Arial" w:hAnsi="Arial" w:eastAsia="黑体"/>
      <w:kern w:val="0"/>
      <w:sz w:val="36"/>
    </w:rPr>
  </w:style>
  <w:style w:type="paragraph" w:styleId="20">
    <w:name w:val="annotation text"/>
    <w:basedOn w:val="1"/>
    <w:link w:val="168"/>
    <w:qFormat/>
    <w:uiPriority w:val="0"/>
    <w:pPr>
      <w:jc w:val="left"/>
    </w:pPr>
    <w:rPr>
      <w:rFonts w:asciiTheme="minorHAnsi" w:hAnsiTheme="minorHAnsi" w:eastAsiaTheme="minorEastAsia" w:cstheme="minorBidi"/>
      <w:szCs w:val="24"/>
    </w:rPr>
  </w:style>
  <w:style w:type="paragraph" w:styleId="21">
    <w:name w:val="Body Text 3"/>
    <w:basedOn w:val="1"/>
    <w:link w:val="113"/>
    <w:qFormat/>
    <w:uiPriority w:val="0"/>
    <w:rPr>
      <w:rFonts w:ascii="宋体" w:hAnsiTheme="minorHAnsi" w:eastAsiaTheme="minorEastAsia" w:cstheme="minorBidi"/>
      <w:sz w:val="24"/>
      <w:szCs w:val="24"/>
    </w:rPr>
  </w:style>
  <w:style w:type="paragraph" w:styleId="22">
    <w:name w:val="Body Text"/>
    <w:basedOn w:val="1"/>
    <w:link w:val="108"/>
    <w:qFormat/>
    <w:uiPriority w:val="0"/>
    <w:rPr>
      <w:rFonts w:asciiTheme="minorHAnsi" w:hAnsiTheme="minorHAnsi" w:eastAsiaTheme="minorEastAsia" w:cstheme="minorBidi"/>
      <w:sz w:val="28"/>
      <w:szCs w:val="24"/>
    </w:rPr>
  </w:style>
  <w:style w:type="paragraph" w:styleId="23">
    <w:name w:val="Body Text Indent"/>
    <w:basedOn w:val="1"/>
    <w:link w:val="239"/>
    <w:unhideWhenUsed/>
    <w:qFormat/>
    <w:uiPriority w:val="0"/>
    <w:pPr>
      <w:spacing w:after="120"/>
      <w:ind w:left="420" w:leftChars="200"/>
    </w:pPr>
  </w:style>
  <w:style w:type="paragraph" w:styleId="24">
    <w:name w:val="List 2"/>
    <w:basedOn w:val="1"/>
    <w:qFormat/>
    <w:uiPriority w:val="0"/>
    <w:pPr>
      <w:ind w:left="100" w:leftChars="200" w:hanging="200" w:hangingChars="200"/>
    </w:pPr>
    <w:rPr>
      <w:szCs w:val="24"/>
    </w:rPr>
  </w:style>
  <w:style w:type="paragraph" w:styleId="25">
    <w:name w:val="Block Text"/>
    <w:basedOn w:val="1"/>
    <w:qFormat/>
    <w:uiPriority w:val="0"/>
    <w:pPr>
      <w:spacing w:line="400" w:lineRule="exact"/>
      <w:ind w:left="2" w:leftChars="1" w:right="693" w:rightChars="330" w:firstLine="600" w:firstLineChars="200"/>
    </w:pPr>
    <w:rPr>
      <w:rFonts w:ascii="宋体" w:hAnsi="宋体"/>
      <w:sz w:val="30"/>
      <w:szCs w:val="24"/>
    </w:rPr>
  </w:style>
  <w:style w:type="paragraph" w:styleId="26">
    <w:name w:val="List Bullet 2"/>
    <w:basedOn w:val="1"/>
    <w:qFormat/>
    <w:uiPriority w:val="0"/>
    <w:pPr>
      <w:widowControl/>
      <w:tabs>
        <w:tab w:val="left" w:pos="1550"/>
      </w:tabs>
      <w:adjustRightInd w:val="0"/>
      <w:snapToGrid w:val="0"/>
      <w:spacing w:before="120" w:line="360" w:lineRule="auto"/>
      <w:ind w:left="1550" w:hanging="990"/>
      <w:jc w:val="left"/>
    </w:pPr>
    <w:rPr>
      <w:rFonts w:ascii="宋体" w:hAnsi="宋体"/>
      <w:spacing w:val="-5"/>
      <w:kern w:val="0"/>
    </w:rPr>
  </w:style>
  <w:style w:type="paragraph" w:styleId="27">
    <w:name w:val="index 4"/>
    <w:basedOn w:val="1"/>
    <w:next w:val="1"/>
    <w:qFormat/>
    <w:uiPriority w:val="0"/>
    <w:pPr>
      <w:ind w:left="600" w:leftChars="600"/>
    </w:pPr>
    <w:rPr>
      <w:szCs w:val="24"/>
    </w:rPr>
  </w:style>
  <w:style w:type="paragraph" w:styleId="28">
    <w:name w:val="toc 5"/>
    <w:basedOn w:val="1"/>
    <w:next w:val="1"/>
    <w:qFormat/>
    <w:uiPriority w:val="0"/>
    <w:pPr>
      <w:ind w:left="1680" w:leftChars="800"/>
    </w:pPr>
    <w:rPr>
      <w:szCs w:val="24"/>
    </w:rPr>
  </w:style>
  <w:style w:type="paragraph" w:styleId="29">
    <w:name w:val="toc 3"/>
    <w:basedOn w:val="1"/>
    <w:next w:val="1"/>
    <w:qFormat/>
    <w:uiPriority w:val="0"/>
    <w:pPr>
      <w:ind w:left="840" w:leftChars="400"/>
    </w:pPr>
    <w:rPr>
      <w:szCs w:val="24"/>
    </w:rPr>
  </w:style>
  <w:style w:type="paragraph" w:styleId="30">
    <w:name w:val="Plain Text"/>
    <w:basedOn w:val="1"/>
    <w:link w:val="180"/>
    <w:qFormat/>
    <w:uiPriority w:val="0"/>
    <w:rPr>
      <w:rFonts w:ascii="宋体" w:hAnsi="Courier New" w:cs="Courier New" w:eastAsiaTheme="minorEastAsia"/>
      <w:szCs w:val="21"/>
    </w:rPr>
  </w:style>
  <w:style w:type="paragraph" w:styleId="31">
    <w:name w:val="toc 8"/>
    <w:basedOn w:val="1"/>
    <w:next w:val="1"/>
    <w:qFormat/>
    <w:uiPriority w:val="0"/>
    <w:pPr>
      <w:ind w:left="2940" w:leftChars="1400"/>
    </w:pPr>
    <w:rPr>
      <w:rFonts w:ascii="Calibri" w:hAnsi="Calibri"/>
      <w:szCs w:val="22"/>
    </w:rPr>
  </w:style>
  <w:style w:type="paragraph" w:styleId="32">
    <w:name w:val="Date"/>
    <w:basedOn w:val="1"/>
    <w:next w:val="1"/>
    <w:link w:val="223"/>
    <w:qFormat/>
    <w:uiPriority w:val="0"/>
    <w:pPr>
      <w:ind w:left="100" w:leftChars="2500"/>
    </w:pPr>
    <w:rPr>
      <w:rFonts w:asciiTheme="minorHAnsi" w:hAnsiTheme="minorHAnsi" w:eastAsiaTheme="minorEastAsia" w:cstheme="minorBidi"/>
      <w:szCs w:val="24"/>
    </w:rPr>
  </w:style>
  <w:style w:type="paragraph" w:styleId="33">
    <w:name w:val="Body Text Indent 2"/>
    <w:basedOn w:val="1"/>
    <w:link w:val="90"/>
    <w:qFormat/>
    <w:uiPriority w:val="0"/>
    <w:pPr>
      <w:spacing w:after="120" w:line="480" w:lineRule="auto"/>
      <w:ind w:left="420" w:leftChars="200"/>
    </w:pPr>
    <w:rPr>
      <w:rFonts w:asciiTheme="minorHAnsi" w:hAnsiTheme="minorHAnsi" w:eastAsiaTheme="minorEastAsia" w:cstheme="minorBidi"/>
      <w:szCs w:val="24"/>
    </w:rPr>
  </w:style>
  <w:style w:type="paragraph" w:styleId="34">
    <w:name w:val="endnote text"/>
    <w:basedOn w:val="1"/>
    <w:link w:val="253"/>
    <w:qFormat/>
    <w:uiPriority w:val="0"/>
    <w:pPr>
      <w:snapToGrid w:val="0"/>
      <w:spacing w:line="360" w:lineRule="auto"/>
      <w:jc w:val="left"/>
    </w:pPr>
    <w:rPr>
      <w:sz w:val="24"/>
      <w:szCs w:val="24"/>
    </w:rPr>
  </w:style>
  <w:style w:type="paragraph" w:styleId="35">
    <w:name w:val="Balloon Text"/>
    <w:basedOn w:val="1"/>
    <w:link w:val="186"/>
    <w:qFormat/>
    <w:uiPriority w:val="0"/>
    <w:rPr>
      <w:rFonts w:asciiTheme="minorHAnsi" w:hAnsiTheme="minorHAnsi" w:eastAsiaTheme="minorEastAsia" w:cstheme="minorBidi"/>
      <w:sz w:val="18"/>
      <w:szCs w:val="18"/>
    </w:rPr>
  </w:style>
  <w:style w:type="paragraph" w:styleId="36">
    <w:name w:val="footer"/>
    <w:basedOn w:val="1"/>
    <w:link w:val="73"/>
    <w:unhideWhenUsed/>
    <w:qFormat/>
    <w:uiPriority w:val="0"/>
    <w:pPr>
      <w:tabs>
        <w:tab w:val="center" w:pos="4153"/>
        <w:tab w:val="right" w:pos="8306"/>
      </w:tabs>
      <w:snapToGrid w:val="0"/>
      <w:jc w:val="left"/>
    </w:pPr>
    <w:rPr>
      <w:sz w:val="18"/>
      <w:szCs w:val="18"/>
    </w:rPr>
  </w:style>
  <w:style w:type="paragraph" w:styleId="37">
    <w:name w:val="header"/>
    <w:basedOn w:val="1"/>
    <w:link w:val="72"/>
    <w:unhideWhenUsed/>
    <w:qFormat/>
    <w:uiPriority w:val="0"/>
    <w:pPr>
      <w:pBdr>
        <w:bottom w:val="single" w:color="auto" w:sz="6" w:space="1"/>
      </w:pBdr>
      <w:tabs>
        <w:tab w:val="center" w:pos="4153"/>
        <w:tab w:val="right" w:pos="8306"/>
      </w:tabs>
      <w:snapToGrid w:val="0"/>
      <w:jc w:val="center"/>
    </w:pPr>
    <w:rPr>
      <w:sz w:val="18"/>
      <w:szCs w:val="18"/>
    </w:rPr>
  </w:style>
  <w:style w:type="paragraph" w:styleId="38">
    <w:name w:val="toc 1"/>
    <w:basedOn w:val="1"/>
    <w:next w:val="1"/>
    <w:qFormat/>
    <w:uiPriority w:val="0"/>
    <w:rPr>
      <w:szCs w:val="24"/>
    </w:rPr>
  </w:style>
  <w:style w:type="paragraph" w:styleId="39">
    <w:name w:val="toc 4"/>
    <w:basedOn w:val="1"/>
    <w:next w:val="1"/>
    <w:qFormat/>
    <w:uiPriority w:val="0"/>
    <w:pPr>
      <w:ind w:left="1260" w:leftChars="600"/>
    </w:pPr>
    <w:rPr>
      <w:szCs w:val="24"/>
    </w:rPr>
  </w:style>
  <w:style w:type="paragraph" w:styleId="40">
    <w:name w:val="Subtitle"/>
    <w:basedOn w:val="1"/>
    <w:next w:val="1"/>
    <w:link w:val="206"/>
    <w:qFormat/>
    <w:uiPriority w:val="0"/>
    <w:pPr>
      <w:spacing w:before="240" w:after="60" w:line="312" w:lineRule="auto"/>
      <w:jc w:val="center"/>
      <w:outlineLvl w:val="1"/>
    </w:pPr>
    <w:rPr>
      <w:rFonts w:ascii="Cambria" w:hAnsi="Cambria" w:eastAsiaTheme="minorEastAsia" w:cstheme="minorBidi"/>
      <w:b/>
      <w:bCs/>
      <w:kern w:val="28"/>
      <w:sz w:val="32"/>
      <w:szCs w:val="32"/>
    </w:rPr>
  </w:style>
  <w:style w:type="paragraph" w:styleId="41">
    <w:name w:val="List"/>
    <w:basedOn w:val="1"/>
    <w:qFormat/>
    <w:uiPriority w:val="0"/>
    <w:pPr>
      <w:tabs>
        <w:tab w:val="left" w:pos="964"/>
      </w:tabs>
      <w:spacing w:line="360" w:lineRule="auto"/>
      <w:ind w:left="964" w:hanging="284"/>
    </w:pPr>
    <w:rPr>
      <w:sz w:val="24"/>
      <w:szCs w:val="24"/>
    </w:rPr>
  </w:style>
  <w:style w:type="paragraph" w:styleId="42">
    <w:name w:val="footnote text"/>
    <w:basedOn w:val="1"/>
    <w:link w:val="202"/>
    <w:unhideWhenUsed/>
    <w:qFormat/>
    <w:uiPriority w:val="0"/>
    <w:pPr>
      <w:widowControl/>
      <w:jc w:val="left"/>
    </w:pPr>
    <w:rPr>
      <w:rFonts w:asciiTheme="minorHAnsi" w:hAnsiTheme="minorHAnsi" w:cstheme="minorBidi"/>
      <w:sz w:val="24"/>
      <w:szCs w:val="24"/>
    </w:rPr>
  </w:style>
  <w:style w:type="paragraph" w:styleId="43">
    <w:name w:val="toc 6"/>
    <w:basedOn w:val="1"/>
    <w:next w:val="1"/>
    <w:qFormat/>
    <w:uiPriority w:val="0"/>
    <w:pPr>
      <w:ind w:left="2100" w:leftChars="1000"/>
    </w:pPr>
    <w:rPr>
      <w:rFonts w:ascii="Calibri" w:hAnsi="Calibri"/>
      <w:szCs w:val="22"/>
    </w:rPr>
  </w:style>
  <w:style w:type="paragraph" w:styleId="44">
    <w:name w:val="Body Text Indent 3"/>
    <w:basedOn w:val="1"/>
    <w:link w:val="107"/>
    <w:qFormat/>
    <w:uiPriority w:val="0"/>
    <w:pPr>
      <w:spacing w:after="120"/>
      <w:ind w:left="420" w:leftChars="200"/>
    </w:pPr>
    <w:rPr>
      <w:rFonts w:asciiTheme="minorHAnsi" w:hAnsiTheme="minorHAnsi" w:eastAsiaTheme="minorEastAsia" w:cstheme="minorBidi"/>
      <w:sz w:val="16"/>
      <w:szCs w:val="16"/>
    </w:rPr>
  </w:style>
  <w:style w:type="paragraph" w:styleId="45">
    <w:name w:val="table of figures"/>
    <w:basedOn w:val="1"/>
    <w:next w:val="1"/>
    <w:qFormat/>
    <w:uiPriority w:val="0"/>
    <w:pPr>
      <w:spacing w:line="360" w:lineRule="auto"/>
      <w:ind w:left="200" w:leftChars="200" w:hanging="200" w:hangingChars="200"/>
    </w:pPr>
    <w:rPr>
      <w:sz w:val="24"/>
      <w:szCs w:val="24"/>
    </w:rPr>
  </w:style>
  <w:style w:type="paragraph" w:styleId="46">
    <w:name w:val="toc 2"/>
    <w:basedOn w:val="1"/>
    <w:next w:val="1"/>
    <w:qFormat/>
    <w:uiPriority w:val="0"/>
    <w:pPr>
      <w:ind w:left="420" w:leftChars="200"/>
    </w:pPr>
    <w:rPr>
      <w:szCs w:val="24"/>
    </w:rPr>
  </w:style>
  <w:style w:type="paragraph" w:styleId="47">
    <w:name w:val="toc 9"/>
    <w:basedOn w:val="1"/>
    <w:next w:val="1"/>
    <w:qFormat/>
    <w:uiPriority w:val="0"/>
    <w:pPr>
      <w:ind w:left="3360" w:leftChars="1600"/>
    </w:pPr>
    <w:rPr>
      <w:rFonts w:ascii="Calibri" w:hAnsi="Calibri"/>
      <w:szCs w:val="22"/>
    </w:rPr>
  </w:style>
  <w:style w:type="paragraph" w:styleId="48">
    <w:name w:val="Body Text 2"/>
    <w:basedOn w:val="1"/>
    <w:link w:val="242"/>
    <w:qFormat/>
    <w:uiPriority w:val="0"/>
    <w:pPr>
      <w:spacing w:after="120" w:line="480" w:lineRule="auto"/>
    </w:pPr>
    <w:rPr>
      <w:rFonts w:eastAsia="Times New Roman"/>
      <w:sz w:val="28"/>
    </w:rPr>
  </w:style>
  <w:style w:type="paragraph" w:styleId="49">
    <w:name w:val="HTML Preformatted"/>
    <w:basedOn w:val="1"/>
    <w:link w:val="20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Courier New" w:cstheme="minorBidi"/>
      <w:sz w:val="24"/>
      <w:szCs w:val="24"/>
    </w:rPr>
  </w:style>
  <w:style w:type="paragraph" w:styleId="5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51">
    <w:name w:val="index 1"/>
    <w:basedOn w:val="1"/>
    <w:next w:val="1"/>
    <w:qFormat/>
    <w:uiPriority w:val="0"/>
  </w:style>
  <w:style w:type="paragraph" w:styleId="52">
    <w:name w:val="Title"/>
    <w:basedOn w:val="1"/>
    <w:link w:val="95"/>
    <w:qFormat/>
    <w:uiPriority w:val="0"/>
    <w:pPr>
      <w:adjustRightInd w:val="0"/>
      <w:spacing w:before="240" w:after="60" w:line="420" w:lineRule="atLeast"/>
      <w:jc w:val="center"/>
      <w:textAlignment w:val="baseline"/>
      <w:outlineLvl w:val="0"/>
    </w:pPr>
    <w:rPr>
      <w:rFonts w:ascii="Arial" w:hAnsi="Arial" w:eastAsiaTheme="minorEastAsia" w:cstheme="minorBidi"/>
      <w:b/>
      <w:sz w:val="32"/>
      <w:szCs w:val="24"/>
    </w:rPr>
  </w:style>
  <w:style w:type="paragraph" w:styleId="53">
    <w:name w:val="annotation subject"/>
    <w:basedOn w:val="20"/>
    <w:next w:val="20"/>
    <w:link w:val="86"/>
    <w:qFormat/>
    <w:uiPriority w:val="0"/>
    <w:rPr>
      <w:b/>
      <w:bCs/>
    </w:rPr>
  </w:style>
  <w:style w:type="paragraph" w:styleId="54">
    <w:name w:val="Body Text First Indent"/>
    <w:basedOn w:val="22"/>
    <w:link w:val="252"/>
    <w:qFormat/>
    <w:uiPriority w:val="0"/>
    <w:pPr>
      <w:spacing w:line="300" w:lineRule="auto"/>
      <w:ind w:firstLine="602"/>
      <w:jc w:val="left"/>
    </w:pPr>
    <w:rPr>
      <w:rFonts w:eastAsia="Times New Roman"/>
    </w:rPr>
  </w:style>
  <w:style w:type="paragraph" w:styleId="55">
    <w:name w:val="Body Text First Indent 2"/>
    <w:basedOn w:val="23"/>
    <w:link w:val="240"/>
    <w:qFormat/>
    <w:uiPriority w:val="0"/>
    <w:pPr>
      <w:ind w:firstLine="420" w:firstLineChars="200"/>
    </w:pPr>
    <w:rPr>
      <w:rFonts w:eastAsia="仿宋_GB2312"/>
      <w:sz w:val="25"/>
      <w:szCs w:val="24"/>
    </w:rPr>
  </w:style>
  <w:style w:type="table" w:styleId="57">
    <w:name w:val="Table Grid"/>
    <w:basedOn w:val="5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9">
    <w:name w:val="Strong"/>
    <w:qFormat/>
    <w:uiPriority w:val="0"/>
    <w:rPr>
      <w:b/>
      <w:bCs/>
    </w:rPr>
  </w:style>
  <w:style w:type="character" w:styleId="60">
    <w:name w:val="endnote reference"/>
    <w:qFormat/>
    <w:uiPriority w:val="0"/>
    <w:rPr>
      <w:vertAlign w:val="superscript"/>
    </w:rPr>
  </w:style>
  <w:style w:type="character" w:styleId="61">
    <w:name w:val="page number"/>
    <w:basedOn w:val="58"/>
    <w:qFormat/>
    <w:uiPriority w:val="0"/>
    <w:rPr>
      <w:szCs w:val="24"/>
    </w:rPr>
  </w:style>
  <w:style w:type="character" w:styleId="62">
    <w:name w:val="FollowedHyperlink"/>
    <w:qFormat/>
    <w:uiPriority w:val="0"/>
    <w:rPr>
      <w:color w:val="800080"/>
      <w:u w:val="single"/>
    </w:rPr>
  </w:style>
  <w:style w:type="character" w:styleId="63">
    <w:name w:val="Emphasis"/>
    <w:qFormat/>
    <w:uiPriority w:val="0"/>
    <w:rPr>
      <w:i/>
      <w:iCs/>
    </w:rPr>
  </w:style>
  <w:style w:type="character" w:styleId="64">
    <w:name w:val="HTML Definition"/>
    <w:basedOn w:val="58"/>
    <w:unhideWhenUsed/>
    <w:qFormat/>
    <w:uiPriority w:val="99"/>
  </w:style>
  <w:style w:type="character" w:styleId="65">
    <w:name w:val="HTML Variable"/>
    <w:basedOn w:val="58"/>
    <w:unhideWhenUsed/>
    <w:qFormat/>
    <w:uiPriority w:val="99"/>
  </w:style>
  <w:style w:type="character" w:styleId="66">
    <w:name w:val="Hyperlink"/>
    <w:qFormat/>
    <w:uiPriority w:val="0"/>
    <w:rPr>
      <w:color w:val="0000FF"/>
      <w:szCs w:val="24"/>
      <w:u w:val="single"/>
    </w:rPr>
  </w:style>
  <w:style w:type="character" w:styleId="67">
    <w:name w:val="HTML Code"/>
    <w:basedOn w:val="58"/>
    <w:unhideWhenUsed/>
    <w:qFormat/>
    <w:uiPriority w:val="99"/>
    <w:rPr>
      <w:rFonts w:ascii="Courier New" w:hAnsi="Courier New"/>
      <w:sz w:val="20"/>
    </w:rPr>
  </w:style>
  <w:style w:type="character" w:styleId="68">
    <w:name w:val="annotation reference"/>
    <w:qFormat/>
    <w:uiPriority w:val="0"/>
    <w:rPr>
      <w:sz w:val="21"/>
      <w:szCs w:val="21"/>
    </w:rPr>
  </w:style>
  <w:style w:type="character" w:styleId="69">
    <w:name w:val="HTML Cite"/>
    <w:basedOn w:val="58"/>
    <w:unhideWhenUsed/>
    <w:qFormat/>
    <w:uiPriority w:val="99"/>
  </w:style>
  <w:style w:type="character" w:styleId="70">
    <w:name w:val="HTML Keyboard"/>
    <w:basedOn w:val="58"/>
    <w:unhideWhenUsed/>
    <w:qFormat/>
    <w:uiPriority w:val="99"/>
    <w:rPr>
      <w:rFonts w:ascii="Courier New" w:hAnsi="Courier New"/>
      <w:sz w:val="20"/>
    </w:rPr>
  </w:style>
  <w:style w:type="character" w:styleId="71">
    <w:name w:val="HTML Sample"/>
    <w:basedOn w:val="58"/>
    <w:unhideWhenUsed/>
    <w:qFormat/>
    <w:uiPriority w:val="99"/>
    <w:rPr>
      <w:rFonts w:ascii="Courier New" w:hAnsi="Courier New"/>
    </w:rPr>
  </w:style>
  <w:style w:type="character" w:customStyle="1" w:styleId="72">
    <w:name w:val="页眉 字符1"/>
    <w:basedOn w:val="58"/>
    <w:link w:val="37"/>
    <w:qFormat/>
    <w:uiPriority w:val="0"/>
    <w:rPr>
      <w:sz w:val="18"/>
      <w:szCs w:val="18"/>
    </w:rPr>
  </w:style>
  <w:style w:type="character" w:customStyle="1" w:styleId="73">
    <w:name w:val="页脚 字符1"/>
    <w:basedOn w:val="58"/>
    <w:link w:val="36"/>
    <w:qFormat/>
    <w:uiPriority w:val="0"/>
    <w:rPr>
      <w:sz w:val="18"/>
      <w:szCs w:val="18"/>
    </w:rPr>
  </w:style>
  <w:style w:type="character" w:customStyle="1" w:styleId="74">
    <w:name w:val="标题 1 Char"/>
    <w:basedOn w:val="58"/>
    <w:qFormat/>
    <w:uiPriority w:val="0"/>
    <w:rPr>
      <w:rFonts w:ascii="Times New Roman" w:hAnsi="Times New Roman" w:eastAsia="宋体" w:cs="Times New Roman"/>
      <w:b/>
      <w:bCs/>
      <w:kern w:val="44"/>
      <w:sz w:val="44"/>
      <w:szCs w:val="44"/>
    </w:rPr>
  </w:style>
  <w:style w:type="character" w:customStyle="1" w:styleId="75">
    <w:name w:val="标题 2 Char"/>
    <w:basedOn w:val="58"/>
    <w:qFormat/>
    <w:uiPriority w:val="0"/>
    <w:rPr>
      <w:rFonts w:asciiTheme="majorHAnsi" w:hAnsiTheme="majorHAnsi" w:eastAsiaTheme="majorEastAsia" w:cstheme="majorBidi"/>
      <w:b/>
      <w:bCs/>
      <w:sz w:val="32"/>
      <w:szCs w:val="32"/>
    </w:rPr>
  </w:style>
  <w:style w:type="character" w:customStyle="1" w:styleId="76">
    <w:name w:val="标题 3 Char"/>
    <w:basedOn w:val="58"/>
    <w:semiHidden/>
    <w:qFormat/>
    <w:uiPriority w:val="9"/>
    <w:rPr>
      <w:rFonts w:ascii="Times New Roman" w:hAnsi="Times New Roman" w:eastAsia="宋体" w:cs="Times New Roman"/>
      <w:b/>
      <w:bCs/>
      <w:sz w:val="32"/>
      <w:szCs w:val="32"/>
    </w:rPr>
  </w:style>
  <w:style w:type="character" w:customStyle="1" w:styleId="77">
    <w:name w:val="标题 4 Char"/>
    <w:basedOn w:val="58"/>
    <w:qFormat/>
    <w:uiPriority w:val="0"/>
    <w:rPr>
      <w:rFonts w:asciiTheme="majorHAnsi" w:hAnsiTheme="majorHAnsi" w:eastAsiaTheme="majorEastAsia" w:cstheme="majorBidi"/>
      <w:b/>
      <w:bCs/>
      <w:sz w:val="28"/>
      <w:szCs w:val="28"/>
    </w:rPr>
  </w:style>
  <w:style w:type="character" w:customStyle="1" w:styleId="78">
    <w:name w:val="标题 5 Char"/>
    <w:basedOn w:val="58"/>
    <w:qFormat/>
    <w:uiPriority w:val="0"/>
    <w:rPr>
      <w:rFonts w:ascii="Times New Roman" w:hAnsi="Times New Roman" w:eastAsia="宋体" w:cs="Times New Roman"/>
      <w:b/>
      <w:bCs/>
      <w:sz w:val="28"/>
      <w:szCs w:val="28"/>
    </w:rPr>
  </w:style>
  <w:style w:type="character" w:customStyle="1" w:styleId="79">
    <w:name w:val="标题 6 Char"/>
    <w:basedOn w:val="58"/>
    <w:qFormat/>
    <w:uiPriority w:val="0"/>
    <w:rPr>
      <w:rFonts w:asciiTheme="majorHAnsi" w:hAnsiTheme="majorHAnsi" w:eastAsiaTheme="majorEastAsia" w:cstheme="majorBidi"/>
      <w:b/>
      <w:bCs/>
      <w:sz w:val="24"/>
      <w:szCs w:val="24"/>
    </w:rPr>
  </w:style>
  <w:style w:type="character" w:customStyle="1" w:styleId="80">
    <w:name w:val="标题 7 Char"/>
    <w:basedOn w:val="58"/>
    <w:qFormat/>
    <w:uiPriority w:val="0"/>
    <w:rPr>
      <w:rFonts w:ascii="Times New Roman" w:hAnsi="Times New Roman" w:eastAsia="宋体" w:cs="Times New Roman"/>
      <w:b/>
      <w:bCs/>
      <w:sz w:val="24"/>
      <w:szCs w:val="24"/>
    </w:rPr>
  </w:style>
  <w:style w:type="character" w:customStyle="1" w:styleId="81">
    <w:name w:val="标题 8 Char"/>
    <w:basedOn w:val="58"/>
    <w:qFormat/>
    <w:uiPriority w:val="0"/>
    <w:rPr>
      <w:rFonts w:asciiTheme="majorHAnsi" w:hAnsiTheme="majorHAnsi" w:eastAsiaTheme="majorEastAsia" w:cstheme="majorBidi"/>
      <w:sz w:val="24"/>
      <w:szCs w:val="24"/>
    </w:rPr>
  </w:style>
  <w:style w:type="character" w:customStyle="1" w:styleId="82">
    <w:name w:val="标题 9 Char"/>
    <w:basedOn w:val="58"/>
    <w:qFormat/>
    <w:uiPriority w:val="0"/>
    <w:rPr>
      <w:rFonts w:asciiTheme="majorHAnsi" w:hAnsiTheme="majorHAnsi" w:eastAsiaTheme="majorEastAsia" w:cstheme="majorBidi"/>
      <w:szCs w:val="21"/>
    </w:rPr>
  </w:style>
  <w:style w:type="character" w:customStyle="1" w:styleId="83">
    <w:name w:val="a9"/>
    <w:basedOn w:val="58"/>
    <w:qFormat/>
    <w:uiPriority w:val="0"/>
    <w:rPr>
      <w:szCs w:val="24"/>
    </w:rPr>
  </w:style>
  <w:style w:type="character" w:customStyle="1" w:styleId="84">
    <w:name w:val="正文缩进[1] Char Char"/>
    <w:link w:val="85"/>
    <w:qFormat/>
    <w:uiPriority w:val="0"/>
  </w:style>
  <w:style w:type="paragraph" w:customStyle="1" w:styleId="85">
    <w:name w:val="正文缩进[1] Char"/>
    <w:basedOn w:val="1"/>
    <w:link w:val="84"/>
    <w:qFormat/>
    <w:uiPriority w:val="0"/>
    <w:pPr>
      <w:spacing w:before="62" w:beforeLines="20" w:after="62" w:afterLines="20" w:line="300" w:lineRule="auto"/>
      <w:ind w:firstLine="420"/>
    </w:pPr>
    <w:rPr>
      <w:rFonts w:asciiTheme="minorHAnsi" w:hAnsiTheme="minorHAnsi" w:eastAsiaTheme="minorEastAsia" w:cstheme="minorBidi"/>
      <w:szCs w:val="22"/>
    </w:rPr>
  </w:style>
  <w:style w:type="character" w:customStyle="1" w:styleId="86">
    <w:name w:val="批注主题 字符"/>
    <w:link w:val="53"/>
    <w:qFormat/>
    <w:uiPriority w:val="0"/>
    <w:rPr>
      <w:b/>
      <w:bCs/>
      <w:szCs w:val="24"/>
    </w:rPr>
  </w:style>
  <w:style w:type="character" w:customStyle="1" w:styleId="87">
    <w:name w:val="font161"/>
    <w:qFormat/>
    <w:uiPriority w:val="0"/>
    <w:rPr>
      <w:b/>
      <w:bCs/>
      <w:sz w:val="32"/>
      <w:szCs w:val="32"/>
    </w:rPr>
  </w:style>
  <w:style w:type="character" w:customStyle="1" w:styleId="88">
    <w:name w:val="Char Char30"/>
    <w:qFormat/>
    <w:uiPriority w:val="0"/>
    <w:rPr>
      <w:rFonts w:eastAsia="宋体"/>
      <w:b/>
      <w:kern w:val="2"/>
      <w:sz w:val="28"/>
      <w:lang w:bidi="ar-SA"/>
    </w:rPr>
  </w:style>
  <w:style w:type="character" w:customStyle="1" w:styleId="89">
    <w:name w:val="标题3 Char2"/>
    <w:qFormat/>
    <w:uiPriority w:val="0"/>
    <w:rPr>
      <w:rFonts w:eastAsia="仿宋_GB2312"/>
      <w:bCs/>
      <w:kern w:val="2"/>
      <w:sz w:val="28"/>
      <w:szCs w:val="32"/>
      <w:lang w:val="en-US" w:eastAsia="zh-CN" w:bidi="ar-SA"/>
    </w:rPr>
  </w:style>
  <w:style w:type="character" w:customStyle="1" w:styleId="90">
    <w:name w:val="正文文本缩进 2 字符"/>
    <w:link w:val="33"/>
    <w:qFormat/>
    <w:uiPriority w:val="0"/>
    <w:rPr>
      <w:szCs w:val="24"/>
    </w:rPr>
  </w:style>
  <w:style w:type="character" w:customStyle="1" w:styleId="91">
    <w:name w:val="正文文本 Char2"/>
    <w:qFormat/>
    <w:uiPriority w:val="0"/>
    <w:rPr>
      <w:rFonts w:eastAsia="宋体"/>
      <w:kern w:val="2"/>
      <w:sz w:val="21"/>
      <w:szCs w:val="24"/>
      <w:lang w:val="en-US" w:eastAsia="zh-CN" w:bidi="ar-SA"/>
    </w:rPr>
  </w:style>
  <w:style w:type="character" w:customStyle="1" w:styleId="92">
    <w:name w:val="标题 2 字符"/>
    <w:link w:val="5"/>
    <w:qFormat/>
    <w:uiPriority w:val="0"/>
    <w:rPr>
      <w:rFonts w:ascii="Arial" w:hAnsi="Arial" w:eastAsia="黑体" w:cs="Times New Roman"/>
      <w:bCs/>
      <w:sz w:val="32"/>
      <w:szCs w:val="32"/>
      <w:lang w:val="zh-CN" w:eastAsia="zh-CN"/>
    </w:rPr>
  </w:style>
  <w:style w:type="character" w:customStyle="1" w:styleId="93">
    <w:name w:val="正文文本 (3)5"/>
    <w:qFormat/>
    <w:uiPriority w:val="0"/>
    <w:rPr>
      <w:rFonts w:ascii="宋体" w:cs="宋体"/>
      <w:szCs w:val="24"/>
      <w:shd w:val="clear" w:color="auto" w:fill="FFFFFF"/>
    </w:rPr>
  </w:style>
  <w:style w:type="character" w:customStyle="1" w:styleId="94">
    <w:name w:val="font61"/>
    <w:qFormat/>
    <w:uiPriority w:val="0"/>
    <w:rPr>
      <w:rFonts w:hint="eastAsia" w:ascii="宋体" w:hAnsi="宋体" w:eastAsia="宋体" w:cs="宋体"/>
      <w:b/>
      <w:color w:val="000000"/>
      <w:sz w:val="20"/>
      <w:szCs w:val="20"/>
      <w:u w:val="none"/>
    </w:rPr>
  </w:style>
  <w:style w:type="character" w:customStyle="1" w:styleId="95">
    <w:name w:val="标题 字符"/>
    <w:link w:val="52"/>
    <w:qFormat/>
    <w:uiPriority w:val="0"/>
    <w:rPr>
      <w:rFonts w:ascii="Arial" w:hAnsi="Arial"/>
      <w:b/>
      <w:sz w:val="32"/>
      <w:szCs w:val="24"/>
    </w:rPr>
  </w:style>
  <w:style w:type="character" w:customStyle="1" w:styleId="96">
    <w:name w:val="text-4"/>
    <w:basedOn w:val="58"/>
    <w:qFormat/>
    <w:uiPriority w:val="0"/>
    <w:rPr>
      <w:szCs w:val="24"/>
    </w:rPr>
  </w:style>
  <w:style w:type="character" w:customStyle="1" w:styleId="97">
    <w:name w:val="批注文字 Char"/>
    <w:qFormat/>
    <w:uiPriority w:val="0"/>
    <w:rPr>
      <w:rFonts w:eastAsia="宋体"/>
      <w:kern w:val="2"/>
      <w:sz w:val="21"/>
      <w:szCs w:val="24"/>
      <w:lang w:val="en-US" w:eastAsia="zh-CN" w:bidi="ar-SA"/>
    </w:rPr>
  </w:style>
  <w:style w:type="character" w:customStyle="1" w:styleId="98">
    <w:name w:val="标题 3 Char Char"/>
    <w:qFormat/>
    <w:uiPriority w:val="0"/>
    <w:rPr>
      <w:rFonts w:eastAsia="宋体"/>
      <w:b/>
      <w:bCs/>
      <w:kern w:val="2"/>
      <w:sz w:val="32"/>
      <w:szCs w:val="32"/>
      <w:lang w:val="en-US" w:eastAsia="zh-CN" w:bidi="ar-SA"/>
    </w:rPr>
  </w:style>
  <w:style w:type="character" w:customStyle="1" w:styleId="99">
    <w:name w:val="skip_21"/>
    <w:qFormat/>
    <w:uiPriority w:val="0"/>
    <w:rPr>
      <w:color w:val="333333"/>
      <w:sz w:val="18"/>
      <w:szCs w:val="18"/>
      <w:u w:val="none"/>
    </w:rPr>
  </w:style>
  <w:style w:type="character" w:customStyle="1" w:styleId="100">
    <w:name w:val="样式3 Char1"/>
    <w:link w:val="101"/>
    <w:qFormat/>
    <w:locked/>
    <w:uiPriority w:val="0"/>
    <w:rPr>
      <w:kern w:val="2"/>
      <w:sz w:val="28"/>
      <w:szCs w:val="22"/>
    </w:rPr>
  </w:style>
  <w:style w:type="paragraph" w:customStyle="1" w:styleId="101">
    <w:name w:val="样式3"/>
    <w:basedOn w:val="1"/>
    <w:link w:val="100"/>
    <w:qFormat/>
    <w:uiPriority w:val="0"/>
    <w:pPr>
      <w:widowControl/>
      <w:numPr>
        <w:ilvl w:val="0"/>
        <w:numId w:val="2"/>
      </w:numPr>
      <w:tabs>
        <w:tab w:val="left" w:pos="840"/>
      </w:tabs>
      <w:spacing w:line="288" w:lineRule="auto"/>
      <w:outlineLvl w:val="1"/>
    </w:pPr>
    <w:rPr>
      <w:rFonts w:asciiTheme="minorHAnsi" w:hAnsiTheme="minorHAnsi" w:eastAsiaTheme="minorEastAsia" w:cstheme="minorBidi"/>
      <w:sz w:val="28"/>
      <w:szCs w:val="22"/>
    </w:rPr>
  </w:style>
  <w:style w:type="character" w:customStyle="1" w:styleId="102">
    <w:name w:val="明显参考1"/>
    <w:qFormat/>
    <w:uiPriority w:val="0"/>
    <w:rPr>
      <w:b/>
      <w:bCs/>
      <w:smallCaps/>
      <w:color w:val="C0504D"/>
      <w:spacing w:val="5"/>
      <w:u w:val="single"/>
    </w:rPr>
  </w:style>
  <w:style w:type="character" w:customStyle="1" w:styleId="103">
    <w:name w:val="verdana14ptboldblack1"/>
    <w:qFormat/>
    <w:uiPriority w:val="0"/>
    <w:rPr>
      <w:rFonts w:hint="default" w:ascii="Verdana" w:hAnsi="Verdana"/>
      <w:b/>
      <w:bCs/>
      <w:color w:val="000000"/>
      <w:sz w:val="22"/>
      <w:szCs w:val="22"/>
    </w:rPr>
  </w:style>
  <w:style w:type="character" w:customStyle="1" w:styleId="104">
    <w:name w:val="font11"/>
    <w:qFormat/>
    <w:uiPriority w:val="0"/>
    <w:rPr>
      <w:rFonts w:hint="eastAsia" w:ascii="宋体" w:hAnsi="宋体" w:eastAsia="宋体" w:cs="宋体"/>
      <w:color w:val="000000"/>
      <w:sz w:val="24"/>
      <w:szCs w:val="24"/>
      <w:u w:val="none"/>
    </w:rPr>
  </w:style>
  <w:style w:type="character" w:customStyle="1" w:styleId="105">
    <w:name w:val="表格文字 Char"/>
    <w:qFormat/>
    <w:uiPriority w:val="0"/>
    <w:rPr>
      <w:rFonts w:ascii="宋体" w:hAnsi="宋体" w:eastAsia="宋体"/>
      <w:kern w:val="2"/>
      <w:sz w:val="21"/>
      <w:szCs w:val="24"/>
      <w:lang w:val="en-US" w:eastAsia="zh-CN" w:bidi="ar-SA"/>
    </w:rPr>
  </w:style>
  <w:style w:type="character" w:customStyle="1" w:styleId="106">
    <w:name w:val="标题4 Char2"/>
    <w:qFormat/>
    <w:uiPriority w:val="0"/>
    <w:rPr>
      <w:rFonts w:eastAsia="宋体"/>
      <w:sz w:val="24"/>
      <w:szCs w:val="24"/>
      <w:lang w:val="en-US" w:eastAsia="zh-CN" w:bidi="ar-SA"/>
    </w:rPr>
  </w:style>
  <w:style w:type="character" w:customStyle="1" w:styleId="107">
    <w:name w:val="正文文本缩进 3 字符"/>
    <w:link w:val="44"/>
    <w:qFormat/>
    <w:uiPriority w:val="0"/>
    <w:rPr>
      <w:sz w:val="16"/>
      <w:szCs w:val="16"/>
    </w:rPr>
  </w:style>
  <w:style w:type="character" w:customStyle="1" w:styleId="108">
    <w:name w:val="正文文本 字符"/>
    <w:link w:val="22"/>
    <w:qFormat/>
    <w:uiPriority w:val="0"/>
    <w:rPr>
      <w:sz w:val="28"/>
      <w:szCs w:val="24"/>
    </w:rPr>
  </w:style>
  <w:style w:type="character" w:customStyle="1" w:styleId="109">
    <w:name w:val="font"/>
    <w:basedOn w:val="58"/>
    <w:qFormat/>
    <w:uiPriority w:val="0"/>
    <w:rPr>
      <w:szCs w:val="24"/>
    </w:rPr>
  </w:style>
  <w:style w:type="character" w:customStyle="1" w:styleId="110">
    <w:name w:val="font21"/>
    <w:qFormat/>
    <w:uiPriority w:val="0"/>
    <w:rPr>
      <w:rFonts w:hint="eastAsia" w:ascii="仿宋" w:hAnsi="仿宋" w:eastAsia="仿宋" w:cs="仿宋"/>
      <w:color w:val="000000"/>
      <w:sz w:val="24"/>
      <w:szCs w:val="24"/>
      <w:u w:val="none"/>
    </w:rPr>
  </w:style>
  <w:style w:type="character" w:customStyle="1" w:styleId="111">
    <w:name w:val="文字 Char"/>
    <w:link w:val="112"/>
    <w:qFormat/>
    <w:uiPriority w:val="0"/>
    <w:rPr>
      <w:rFonts w:ascii="宋体"/>
      <w:sz w:val="28"/>
    </w:rPr>
  </w:style>
  <w:style w:type="paragraph" w:customStyle="1" w:styleId="112">
    <w:name w:val="文字"/>
    <w:basedOn w:val="1"/>
    <w:link w:val="111"/>
    <w:qFormat/>
    <w:uiPriority w:val="0"/>
    <w:pPr>
      <w:tabs>
        <w:tab w:val="left" w:pos="8520"/>
      </w:tabs>
      <w:spacing w:line="312" w:lineRule="auto"/>
      <w:ind w:right="-210" w:firstLine="556"/>
    </w:pPr>
    <w:rPr>
      <w:rFonts w:ascii="宋体" w:hAnsiTheme="minorHAnsi" w:eastAsiaTheme="minorEastAsia" w:cstheme="minorBidi"/>
      <w:sz w:val="28"/>
      <w:szCs w:val="22"/>
    </w:rPr>
  </w:style>
  <w:style w:type="character" w:customStyle="1" w:styleId="113">
    <w:name w:val="正文文本 3 字符"/>
    <w:link w:val="21"/>
    <w:qFormat/>
    <w:uiPriority w:val="0"/>
    <w:rPr>
      <w:rFonts w:ascii="宋体"/>
      <w:sz w:val="24"/>
      <w:szCs w:val="24"/>
    </w:rPr>
  </w:style>
  <w:style w:type="character" w:customStyle="1" w:styleId="114">
    <w:name w:val="副标题 Char"/>
    <w:qFormat/>
    <w:uiPriority w:val="0"/>
    <w:rPr>
      <w:rFonts w:ascii="Cambria" w:hAnsi="Cambria"/>
      <w:b/>
      <w:bCs/>
      <w:kern w:val="28"/>
      <w:sz w:val="32"/>
      <w:szCs w:val="32"/>
      <w:lang w:bidi="ar-SA"/>
    </w:rPr>
  </w:style>
  <w:style w:type="character" w:customStyle="1" w:styleId="115">
    <w:name w:val="标题 3 Char1"/>
    <w:qFormat/>
    <w:uiPriority w:val="0"/>
    <w:rPr>
      <w:rFonts w:ascii="Times New Roman" w:hAnsi="Times New Roman" w:eastAsia="黑体"/>
      <w:bCs/>
      <w:sz w:val="24"/>
      <w:szCs w:val="32"/>
    </w:rPr>
  </w:style>
  <w:style w:type="character" w:customStyle="1" w:styleId="116">
    <w:name w:val="标题 5 字符"/>
    <w:link w:val="9"/>
    <w:qFormat/>
    <w:uiPriority w:val="0"/>
    <w:rPr>
      <w:rFonts w:ascii="Calibri" w:hAnsi="Calibri" w:eastAsia="宋体" w:cs="Times New Roman"/>
      <w:b/>
      <w:bCs/>
      <w:sz w:val="28"/>
      <w:szCs w:val="28"/>
      <w:lang w:val="zh-CN" w:eastAsia="zh-CN"/>
    </w:rPr>
  </w:style>
  <w:style w:type="character" w:customStyle="1" w:styleId="117">
    <w:name w:val="正文文本 Char1"/>
    <w:qFormat/>
    <w:uiPriority w:val="0"/>
    <w:rPr>
      <w:kern w:val="2"/>
      <w:sz w:val="21"/>
      <w:szCs w:val="22"/>
    </w:rPr>
  </w:style>
  <w:style w:type="character" w:customStyle="1" w:styleId="118">
    <w:name w:val="标题 7 字符"/>
    <w:link w:val="11"/>
    <w:qFormat/>
    <w:uiPriority w:val="0"/>
    <w:rPr>
      <w:rFonts w:ascii="Times New Roman" w:hAnsi="Times New Roman" w:eastAsia="宋体" w:cs="Times New Roman"/>
      <w:b/>
      <w:bCs/>
      <w:kern w:val="0"/>
      <w:sz w:val="24"/>
      <w:szCs w:val="24"/>
      <w:lang w:val="zh-CN" w:eastAsia="zh-CN"/>
    </w:rPr>
  </w:style>
  <w:style w:type="character" w:customStyle="1" w:styleId="119">
    <w:name w:val="标题 4 Char Char"/>
    <w:qFormat/>
    <w:uiPriority w:val="0"/>
    <w:rPr>
      <w:rFonts w:ascii="Arial" w:hAnsi="Arial" w:eastAsia="黑体"/>
      <w:b/>
      <w:bCs/>
      <w:kern w:val="2"/>
      <w:sz w:val="28"/>
      <w:szCs w:val="28"/>
      <w:lang w:val="en-US" w:eastAsia="zh-CN" w:bidi="ar-SA"/>
    </w:rPr>
  </w:style>
  <w:style w:type="character" w:customStyle="1" w:styleId="120">
    <w:name w:val="表格文字 Char Char"/>
    <w:qFormat/>
    <w:uiPriority w:val="0"/>
    <w:rPr>
      <w:rFonts w:ascii="宋体" w:hAnsi="宋体" w:eastAsia="宋体"/>
      <w:kern w:val="2"/>
      <w:sz w:val="21"/>
      <w:szCs w:val="24"/>
      <w:lang w:val="en-US" w:eastAsia="zh-CN" w:bidi="ar-SA"/>
    </w:rPr>
  </w:style>
  <w:style w:type="character" w:customStyle="1" w:styleId="121">
    <w:name w:val="正文new Char"/>
    <w:link w:val="122"/>
    <w:qFormat/>
    <w:uiPriority w:val="0"/>
    <w:rPr>
      <w:rFonts w:ascii="宋体" w:hAnsi="宋体"/>
      <w:color w:val="000000"/>
      <w:sz w:val="24"/>
      <w:szCs w:val="24"/>
    </w:rPr>
  </w:style>
  <w:style w:type="paragraph" w:customStyle="1" w:styleId="122">
    <w:name w:val="正文new"/>
    <w:basedOn w:val="1"/>
    <w:link w:val="121"/>
    <w:qFormat/>
    <w:uiPriority w:val="0"/>
    <w:pPr>
      <w:spacing w:line="360" w:lineRule="auto"/>
      <w:ind w:firstLine="480" w:firstLineChars="200"/>
    </w:pPr>
    <w:rPr>
      <w:rFonts w:ascii="宋体" w:hAnsi="宋体" w:eastAsiaTheme="minorEastAsia" w:cstheme="minorBidi"/>
      <w:color w:val="000000"/>
      <w:sz w:val="24"/>
      <w:szCs w:val="24"/>
    </w:rPr>
  </w:style>
  <w:style w:type="character" w:customStyle="1" w:styleId="123">
    <w:name w:val="文档结构图 Char"/>
    <w:qFormat/>
    <w:uiPriority w:val="0"/>
    <w:rPr>
      <w:rFonts w:eastAsia="宋体"/>
      <w:kern w:val="2"/>
      <w:sz w:val="21"/>
      <w:szCs w:val="24"/>
      <w:lang w:val="en-US" w:eastAsia="zh-CN" w:bidi="ar-SA"/>
    </w:rPr>
  </w:style>
  <w:style w:type="character" w:customStyle="1" w:styleId="124">
    <w:name w:val="CD正文 Char"/>
    <w:link w:val="125"/>
    <w:qFormat/>
    <w:uiPriority w:val="0"/>
    <w:rPr>
      <w:rFonts w:eastAsia="宋体"/>
      <w:sz w:val="30"/>
      <w:szCs w:val="28"/>
    </w:rPr>
  </w:style>
  <w:style w:type="paragraph" w:customStyle="1" w:styleId="125">
    <w:name w:val="CD正文"/>
    <w:basedOn w:val="1"/>
    <w:link w:val="124"/>
    <w:qFormat/>
    <w:uiPriority w:val="0"/>
    <w:pPr>
      <w:spacing w:line="360" w:lineRule="auto"/>
      <w:ind w:firstLine="493"/>
    </w:pPr>
    <w:rPr>
      <w:rFonts w:asciiTheme="minorHAnsi" w:hAnsiTheme="minorHAnsi" w:cstheme="minorBidi"/>
      <w:sz w:val="30"/>
      <w:szCs w:val="28"/>
    </w:rPr>
  </w:style>
  <w:style w:type="character" w:customStyle="1" w:styleId="126">
    <w:name w:val="pt101"/>
    <w:qFormat/>
    <w:uiPriority w:val="0"/>
    <w:rPr>
      <w:sz w:val="14"/>
      <w:szCs w:val="14"/>
    </w:rPr>
  </w:style>
  <w:style w:type="character" w:customStyle="1" w:styleId="127">
    <w:name w:val="页脚 字符"/>
    <w:qFormat/>
    <w:uiPriority w:val="0"/>
    <w:rPr>
      <w:kern w:val="2"/>
      <w:sz w:val="18"/>
      <w:szCs w:val="18"/>
    </w:rPr>
  </w:style>
  <w:style w:type="character" w:customStyle="1" w:styleId="128">
    <w:name w:val="标题4 Char1"/>
    <w:qFormat/>
    <w:uiPriority w:val="0"/>
    <w:rPr>
      <w:rFonts w:eastAsia="宋体"/>
      <w:sz w:val="24"/>
      <w:szCs w:val="24"/>
      <w:lang w:val="en-US" w:eastAsia="zh-CN" w:bidi="ar-SA"/>
    </w:rPr>
  </w:style>
  <w:style w:type="character" w:customStyle="1" w:styleId="129">
    <w:name w:val="引用 字符"/>
    <w:link w:val="130"/>
    <w:qFormat/>
    <w:uiPriority w:val="0"/>
    <w:rPr>
      <w:i/>
      <w:iCs/>
      <w:color w:val="000000"/>
    </w:rPr>
  </w:style>
  <w:style w:type="paragraph" w:customStyle="1" w:styleId="130">
    <w:name w:val="引用1"/>
    <w:basedOn w:val="1"/>
    <w:next w:val="1"/>
    <w:link w:val="129"/>
    <w:qFormat/>
    <w:uiPriority w:val="0"/>
    <w:rPr>
      <w:rFonts w:asciiTheme="minorHAnsi" w:hAnsiTheme="minorHAnsi" w:eastAsiaTheme="minorEastAsia" w:cstheme="minorBidi"/>
      <w:i/>
      <w:iCs/>
      <w:color w:val="000000"/>
      <w:szCs w:val="22"/>
    </w:rPr>
  </w:style>
  <w:style w:type="character" w:customStyle="1" w:styleId="131">
    <w:name w:val="正文文字 Char Char"/>
    <w:link w:val="132"/>
    <w:qFormat/>
    <w:uiPriority w:val="0"/>
    <w:rPr>
      <w:rFonts w:eastAsia="宋体"/>
      <w:color w:val="000000"/>
      <w:sz w:val="28"/>
      <w:szCs w:val="28"/>
    </w:rPr>
  </w:style>
  <w:style w:type="paragraph" w:customStyle="1" w:styleId="132">
    <w:name w:val="正文文字"/>
    <w:basedOn w:val="1"/>
    <w:link w:val="131"/>
    <w:qFormat/>
    <w:uiPriority w:val="0"/>
    <w:pPr>
      <w:ind w:firstLine="482"/>
    </w:pPr>
    <w:rPr>
      <w:rFonts w:asciiTheme="minorHAnsi" w:hAnsiTheme="minorHAnsi" w:cstheme="minorBidi"/>
      <w:color w:val="000000"/>
      <w:sz w:val="28"/>
      <w:szCs w:val="28"/>
    </w:rPr>
  </w:style>
  <w:style w:type="character" w:customStyle="1" w:styleId="133">
    <w:name w:val="Char Char17"/>
    <w:qFormat/>
    <w:uiPriority w:val="0"/>
    <w:rPr>
      <w:rFonts w:ascii="Cambria" w:hAnsi="Cambria" w:eastAsia="宋体" w:cs="Times New Roman"/>
      <w:b/>
      <w:bCs/>
      <w:kern w:val="2"/>
      <w:sz w:val="32"/>
      <w:szCs w:val="32"/>
    </w:rPr>
  </w:style>
  <w:style w:type="character" w:customStyle="1" w:styleId="134">
    <w:name w:val="正文文本 (3)_"/>
    <w:link w:val="135"/>
    <w:qFormat/>
    <w:uiPriority w:val="0"/>
    <w:rPr>
      <w:rFonts w:ascii="宋体"/>
      <w:szCs w:val="24"/>
      <w:shd w:val="clear" w:color="auto" w:fill="FFFFFF"/>
    </w:rPr>
  </w:style>
  <w:style w:type="paragraph" w:customStyle="1" w:styleId="135">
    <w:name w:val="正文文本 (3)1"/>
    <w:basedOn w:val="1"/>
    <w:link w:val="134"/>
    <w:qFormat/>
    <w:uiPriority w:val="0"/>
    <w:pPr>
      <w:shd w:val="clear" w:color="auto" w:fill="FFFFFF"/>
      <w:spacing w:line="240" w:lineRule="atLeast"/>
      <w:jc w:val="left"/>
    </w:pPr>
    <w:rPr>
      <w:rFonts w:ascii="宋体" w:hAnsiTheme="minorHAnsi" w:eastAsiaTheme="minorEastAsia" w:cstheme="minorBidi"/>
      <w:szCs w:val="24"/>
      <w:shd w:val="clear" w:color="auto" w:fill="FFFFFF"/>
    </w:rPr>
  </w:style>
  <w:style w:type="character" w:customStyle="1" w:styleId="136">
    <w:name w:val="标题 9 字符"/>
    <w:link w:val="13"/>
    <w:qFormat/>
    <w:uiPriority w:val="0"/>
    <w:rPr>
      <w:rFonts w:ascii="Arial" w:hAnsi="Arial" w:eastAsia="黑体" w:cs="Times New Roman"/>
      <w:kern w:val="0"/>
      <w:szCs w:val="21"/>
      <w:lang w:val="zh-CN" w:eastAsia="zh-CN"/>
    </w:rPr>
  </w:style>
  <w:style w:type="character" w:customStyle="1" w:styleId="137">
    <w:name w:val="txt1"/>
    <w:qFormat/>
    <w:uiPriority w:val="0"/>
    <w:rPr>
      <w:rFonts w:hint="default" w:ascii="ˎ̥" w:hAnsi="ˎ̥"/>
      <w:sz w:val="18"/>
      <w:szCs w:val="18"/>
    </w:rPr>
  </w:style>
  <w:style w:type="character" w:customStyle="1" w:styleId="138">
    <w:name w:val="正文（首行缩进两字） Char Char Char Char Char Char Char Char Char Char Char Char Char Char Char Char Char Char Char Char Char Char Char Char Char Char Char Char Char Char Char Char Char Char Char Char Char Char Char Char Char Char Char Char Char Char"/>
    <w:qFormat/>
    <w:uiPriority w:val="0"/>
    <w:rPr>
      <w:rFonts w:eastAsia="宋体"/>
      <w:sz w:val="24"/>
      <w:szCs w:val="24"/>
      <w:lang w:val="en-US" w:eastAsia="zh-CN" w:bidi="ar-SA"/>
    </w:rPr>
  </w:style>
  <w:style w:type="character" w:customStyle="1" w:styleId="139">
    <w:name w:val="列表段落 字符"/>
    <w:link w:val="140"/>
    <w:qFormat/>
    <w:uiPriority w:val="0"/>
    <w:rPr>
      <w:rFonts w:ascii="Calibri" w:hAnsi="Calibri" w:eastAsia="宋体"/>
    </w:rPr>
  </w:style>
  <w:style w:type="paragraph" w:customStyle="1" w:styleId="140">
    <w:name w:val="列表段落1"/>
    <w:basedOn w:val="1"/>
    <w:link w:val="139"/>
    <w:qFormat/>
    <w:uiPriority w:val="34"/>
    <w:pPr>
      <w:ind w:firstLine="420" w:firstLineChars="200"/>
    </w:pPr>
    <w:rPr>
      <w:rFonts w:ascii="Calibri" w:hAnsi="Calibri" w:cstheme="minorBidi"/>
      <w:szCs w:val="22"/>
    </w:rPr>
  </w:style>
  <w:style w:type="character" w:customStyle="1" w:styleId="141">
    <w:name w:val="表格 Char"/>
    <w:link w:val="142"/>
    <w:qFormat/>
    <w:uiPriority w:val="0"/>
    <w:rPr>
      <w:rFonts w:ascii="华文细黑" w:hAnsi="华文细黑" w:eastAsia="宋体"/>
    </w:rPr>
  </w:style>
  <w:style w:type="paragraph" w:customStyle="1" w:styleId="142">
    <w:name w:val="表格"/>
    <w:basedOn w:val="1"/>
    <w:link w:val="141"/>
    <w:qFormat/>
    <w:uiPriority w:val="0"/>
    <w:pPr>
      <w:jc w:val="center"/>
      <w:textAlignment w:val="center"/>
    </w:pPr>
    <w:rPr>
      <w:rFonts w:ascii="华文细黑" w:hAnsi="华文细黑" w:cstheme="minorBidi"/>
      <w:szCs w:val="22"/>
    </w:rPr>
  </w:style>
  <w:style w:type="character" w:customStyle="1" w:styleId="143">
    <w:name w:val="批注框文本 Char"/>
    <w:qFormat/>
    <w:uiPriority w:val="0"/>
    <w:rPr>
      <w:rFonts w:eastAsia="宋体"/>
      <w:kern w:val="2"/>
      <w:sz w:val="18"/>
      <w:szCs w:val="18"/>
      <w:lang w:val="en-US" w:eastAsia="zh-CN" w:bidi="ar-SA"/>
    </w:rPr>
  </w:style>
  <w:style w:type="character" w:customStyle="1" w:styleId="144">
    <w:name w:val="H2 Char"/>
    <w:qFormat/>
    <w:uiPriority w:val="0"/>
    <w:rPr>
      <w:rFonts w:ascii="Arial" w:hAnsi="Arial" w:eastAsia="仿宋_GB2312"/>
      <w:b/>
      <w:kern w:val="2"/>
      <w:sz w:val="28"/>
      <w:lang w:val="en-US" w:eastAsia="zh-CN" w:bidi="ar-SA"/>
    </w:rPr>
  </w:style>
  <w:style w:type="character" w:customStyle="1" w:styleId="145">
    <w:name w:val="不明显强调1"/>
    <w:qFormat/>
    <w:uiPriority w:val="0"/>
    <w:rPr>
      <w:i/>
      <w:iCs/>
      <w:color w:val="808080"/>
    </w:rPr>
  </w:style>
  <w:style w:type="character" w:customStyle="1" w:styleId="146">
    <w:name w:val="常用正文 Char"/>
    <w:link w:val="147"/>
    <w:qFormat/>
    <w:uiPriority w:val="0"/>
    <w:rPr>
      <w:rFonts w:ascii="Arial" w:hAnsi="Arial" w:eastAsia="楷体_GB2312"/>
      <w:sz w:val="24"/>
    </w:rPr>
  </w:style>
  <w:style w:type="paragraph" w:customStyle="1" w:styleId="147">
    <w:name w:val="常用正文"/>
    <w:link w:val="146"/>
    <w:qFormat/>
    <w:uiPriority w:val="0"/>
    <w:pPr>
      <w:widowControl w:val="0"/>
      <w:spacing w:line="360" w:lineRule="auto"/>
      <w:ind w:firstLine="200" w:firstLineChars="200"/>
      <w:textAlignment w:val="bottom"/>
    </w:pPr>
    <w:rPr>
      <w:rFonts w:ascii="Arial" w:hAnsi="Arial" w:eastAsia="楷体_GB2312" w:cstheme="minorBidi"/>
      <w:kern w:val="2"/>
      <w:sz w:val="24"/>
      <w:szCs w:val="22"/>
      <w:lang w:val="en-US" w:eastAsia="zh-CN" w:bidi="ar-SA"/>
    </w:rPr>
  </w:style>
  <w:style w:type="character" w:customStyle="1" w:styleId="148">
    <w:name w:val="文档结构图 Char1"/>
    <w:qFormat/>
    <w:uiPriority w:val="0"/>
    <w:rPr>
      <w:rFonts w:ascii="宋体"/>
      <w:kern w:val="2"/>
      <w:sz w:val="18"/>
      <w:szCs w:val="18"/>
    </w:rPr>
  </w:style>
  <w:style w:type="character" w:customStyle="1" w:styleId="149">
    <w:name w:val="正文文本缩进 字符"/>
    <w:qFormat/>
    <w:uiPriority w:val="0"/>
    <w:rPr>
      <w:kern w:val="2"/>
      <w:sz w:val="21"/>
      <w:szCs w:val="24"/>
    </w:rPr>
  </w:style>
  <w:style w:type="character" w:customStyle="1" w:styleId="150">
    <w:name w:val="标题 1 字符"/>
    <w:link w:val="4"/>
    <w:qFormat/>
    <w:uiPriority w:val="0"/>
    <w:rPr>
      <w:rFonts w:ascii="Times New Roman" w:hAnsi="Times New Roman" w:eastAsia="宋体" w:cs="Times New Roman"/>
      <w:b/>
      <w:bCs/>
      <w:kern w:val="44"/>
      <w:sz w:val="44"/>
      <w:szCs w:val="44"/>
      <w:lang w:val="zh-CN" w:eastAsia="zh-CN"/>
    </w:rPr>
  </w:style>
  <w:style w:type="character" w:customStyle="1" w:styleId="151">
    <w:name w:val="标题4 Char3"/>
    <w:qFormat/>
    <w:uiPriority w:val="0"/>
    <w:rPr>
      <w:rFonts w:eastAsia="宋体"/>
      <w:sz w:val="24"/>
      <w:szCs w:val="24"/>
      <w:lang w:val="en-US" w:eastAsia="zh-CN" w:bidi="ar-SA"/>
    </w:rPr>
  </w:style>
  <w:style w:type="character" w:customStyle="1" w:styleId="152">
    <w:name w:val="明显引用 Char1"/>
    <w:qFormat/>
    <w:uiPriority w:val="30"/>
    <w:rPr>
      <w:b/>
      <w:bCs/>
      <w:i/>
      <w:iCs/>
      <w:color w:val="4F81BD"/>
      <w:kern w:val="2"/>
      <w:sz w:val="21"/>
      <w:szCs w:val="24"/>
    </w:rPr>
  </w:style>
  <w:style w:type="character" w:customStyle="1" w:styleId="153">
    <w:name w:val="标题 6 字符"/>
    <w:link w:val="10"/>
    <w:qFormat/>
    <w:uiPriority w:val="0"/>
    <w:rPr>
      <w:rFonts w:ascii="Arial" w:hAnsi="Arial" w:eastAsia="黑体" w:cs="Times New Roman"/>
      <w:b/>
      <w:bCs/>
      <w:kern w:val="0"/>
      <w:sz w:val="24"/>
      <w:szCs w:val="24"/>
      <w:lang w:val="zh-CN" w:eastAsia="zh-CN"/>
    </w:rPr>
  </w:style>
  <w:style w:type="character" w:customStyle="1" w:styleId="154">
    <w:name w:val="h3 Char1"/>
    <w:qFormat/>
    <w:uiPriority w:val="0"/>
    <w:rPr>
      <w:rFonts w:eastAsia="仿宋_GB2312"/>
      <w:bCs/>
      <w:kern w:val="2"/>
      <w:sz w:val="28"/>
      <w:szCs w:val="32"/>
      <w:lang w:val="en-US" w:eastAsia="zh-CN" w:bidi="ar-SA"/>
    </w:rPr>
  </w:style>
  <w:style w:type="character" w:customStyle="1" w:styleId="155">
    <w:name w:val="副标题 Char1"/>
    <w:qFormat/>
    <w:uiPriority w:val="0"/>
    <w:rPr>
      <w:rFonts w:ascii="Cambria" w:hAnsi="Cambria" w:cs="Times New Roman"/>
      <w:b/>
      <w:bCs/>
      <w:kern w:val="28"/>
      <w:sz w:val="32"/>
      <w:szCs w:val="32"/>
    </w:rPr>
  </w:style>
  <w:style w:type="character" w:customStyle="1" w:styleId="156">
    <w:name w:val="标题5 Char Char"/>
    <w:link w:val="157"/>
    <w:qFormat/>
    <w:uiPriority w:val="0"/>
    <w:rPr>
      <w:rFonts w:ascii="Arial" w:hAnsi="Arial"/>
      <w:b/>
      <w:bCs/>
      <w:sz w:val="24"/>
      <w:szCs w:val="32"/>
    </w:rPr>
  </w:style>
  <w:style w:type="paragraph" w:customStyle="1" w:styleId="157">
    <w:name w:val="标题5"/>
    <w:basedOn w:val="6"/>
    <w:link w:val="156"/>
    <w:qFormat/>
    <w:uiPriority w:val="0"/>
    <w:pPr>
      <w:spacing w:line="413" w:lineRule="auto"/>
    </w:pPr>
    <w:rPr>
      <w:rFonts w:ascii="Arial" w:hAnsi="Arial" w:eastAsiaTheme="minorEastAsia" w:cstheme="minorBidi"/>
      <w:sz w:val="24"/>
      <w:lang w:val="en-US"/>
    </w:rPr>
  </w:style>
  <w:style w:type="character" w:customStyle="1" w:styleId="158">
    <w:name w:val="spantitle"/>
    <w:basedOn w:val="58"/>
    <w:qFormat/>
    <w:uiPriority w:val="0"/>
    <w:rPr>
      <w:szCs w:val="24"/>
    </w:rPr>
  </w:style>
  <w:style w:type="character" w:customStyle="1" w:styleId="159">
    <w:name w:val="msonormal"/>
    <w:basedOn w:val="58"/>
    <w:qFormat/>
    <w:uiPriority w:val="0"/>
    <w:rPr>
      <w:szCs w:val="24"/>
    </w:rPr>
  </w:style>
  <w:style w:type="character" w:customStyle="1" w:styleId="160">
    <w:name w:val="无间隔 字符"/>
    <w:link w:val="161"/>
    <w:qFormat/>
    <w:uiPriority w:val="0"/>
    <w:rPr>
      <w:rFonts w:ascii="Calibri" w:hAnsi="Calibri"/>
    </w:rPr>
  </w:style>
  <w:style w:type="paragraph" w:customStyle="1" w:styleId="161">
    <w:name w:val="无间隔1"/>
    <w:link w:val="160"/>
    <w:qFormat/>
    <w:uiPriority w:val="0"/>
    <w:pPr>
      <w:widowControl w:val="0"/>
      <w:jc w:val="both"/>
    </w:pPr>
    <w:rPr>
      <w:rFonts w:ascii="Calibri" w:hAnsi="Calibri" w:eastAsiaTheme="minorEastAsia" w:cstheme="minorBidi"/>
      <w:kern w:val="2"/>
      <w:sz w:val="21"/>
      <w:szCs w:val="22"/>
      <w:lang w:val="en-US" w:eastAsia="zh-CN" w:bidi="ar-SA"/>
    </w:rPr>
  </w:style>
  <w:style w:type="character" w:customStyle="1" w:styleId="162">
    <w:name w:val="批注框文本 Char1"/>
    <w:qFormat/>
    <w:uiPriority w:val="0"/>
    <w:rPr>
      <w:kern w:val="2"/>
      <w:sz w:val="18"/>
      <w:szCs w:val="18"/>
    </w:rPr>
  </w:style>
  <w:style w:type="character" w:customStyle="1" w:styleId="163">
    <w:name w:val="样式 正文缩进 + 首行缩进:  2 字符 Char"/>
    <w:link w:val="164"/>
    <w:qFormat/>
    <w:uiPriority w:val="0"/>
    <w:rPr>
      <w:rFonts w:eastAsia="宋体" w:cs="宋体"/>
      <w:sz w:val="24"/>
    </w:rPr>
  </w:style>
  <w:style w:type="paragraph" w:customStyle="1" w:styleId="164">
    <w:name w:val="样式 正文缩进 + 首行缩进:  2 字符"/>
    <w:basedOn w:val="8"/>
    <w:link w:val="163"/>
    <w:qFormat/>
    <w:uiPriority w:val="0"/>
    <w:pPr>
      <w:adjustRightInd/>
      <w:spacing w:line="360" w:lineRule="auto"/>
      <w:ind w:firstLine="200" w:firstLineChars="200"/>
    </w:pPr>
    <w:rPr>
      <w:rFonts w:cs="宋体"/>
      <w:szCs w:val="22"/>
    </w:rPr>
  </w:style>
  <w:style w:type="character" w:customStyle="1" w:styleId="165">
    <w:name w:val="正文缩进 Char Char Char"/>
    <w:qFormat/>
    <w:uiPriority w:val="0"/>
    <w:rPr>
      <w:rFonts w:eastAsia="宋体"/>
      <w:sz w:val="24"/>
      <w:szCs w:val="24"/>
      <w:lang w:val="en-US" w:eastAsia="zh-CN" w:bidi="ar-SA"/>
    </w:rPr>
  </w:style>
  <w:style w:type="character" w:customStyle="1" w:styleId="166">
    <w:name w:val="正文缩进2字符 Char"/>
    <w:link w:val="167"/>
    <w:qFormat/>
    <w:uiPriority w:val="0"/>
    <w:rPr>
      <w:rFonts w:eastAsia="宋体"/>
      <w:sz w:val="24"/>
    </w:rPr>
  </w:style>
  <w:style w:type="paragraph" w:customStyle="1" w:styleId="167">
    <w:name w:val="正文缩进2字符"/>
    <w:basedOn w:val="1"/>
    <w:link w:val="166"/>
    <w:qFormat/>
    <w:uiPriority w:val="0"/>
    <w:pPr>
      <w:spacing w:line="360" w:lineRule="auto"/>
      <w:ind w:firstLine="480" w:firstLineChars="200"/>
    </w:pPr>
    <w:rPr>
      <w:rFonts w:asciiTheme="minorHAnsi" w:hAnsiTheme="minorHAnsi" w:cstheme="minorBidi"/>
      <w:sz w:val="24"/>
      <w:szCs w:val="22"/>
    </w:rPr>
  </w:style>
  <w:style w:type="character" w:customStyle="1" w:styleId="168">
    <w:name w:val="批注文字 字符"/>
    <w:link w:val="20"/>
    <w:qFormat/>
    <w:uiPriority w:val="0"/>
    <w:rPr>
      <w:szCs w:val="24"/>
    </w:rPr>
  </w:style>
  <w:style w:type="character" w:customStyle="1" w:styleId="169">
    <w:name w:val="正文缩进 Char Char1"/>
    <w:qFormat/>
    <w:uiPriority w:val="0"/>
    <w:rPr>
      <w:rFonts w:eastAsia="宋体"/>
      <w:kern w:val="2"/>
      <w:sz w:val="24"/>
      <w:szCs w:val="24"/>
      <w:lang w:val="en-US" w:eastAsia="zh-CN" w:bidi="ar-SA"/>
    </w:rPr>
  </w:style>
  <w:style w:type="character" w:customStyle="1" w:styleId="170">
    <w:name w:val="标题3 Char1"/>
    <w:qFormat/>
    <w:uiPriority w:val="0"/>
    <w:rPr>
      <w:rFonts w:eastAsia="仿宋_GB2312"/>
      <w:bCs/>
      <w:kern w:val="2"/>
      <w:sz w:val="28"/>
      <w:szCs w:val="32"/>
      <w:lang w:val="en-US" w:eastAsia="zh-CN" w:bidi="ar-SA"/>
    </w:rPr>
  </w:style>
  <w:style w:type="character" w:customStyle="1" w:styleId="171">
    <w:name w:val="Body Char"/>
    <w:link w:val="172"/>
    <w:qFormat/>
    <w:uiPriority w:val="0"/>
    <w:rPr>
      <w:rFonts w:ascii="宋体" w:hAnsi="宋体"/>
      <w:sz w:val="24"/>
    </w:rPr>
  </w:style>
  <w:style w:type="paragraph" w:customStyle="1" w:styleId="172">
    <w:name w:val="Body"/>
    <w:basedOn w:val="1"/>
    <w:link w:val="171"/>
    <w:qFormat/>
    <w:uiPriority w:val="0"/>
    <w:pPr>
      <w:widowControl/>
      <w:tabs>
        <w:tab w:val="left" w:pos="9255"/>
      </w:tabs>
      <w:spacing w:before="156" w:beforeLines="50" w:after="156" w:afterLines="50" w:line="360" w:lineRule="auto"/>
    </w:pPr>
    <w:rPr>
      <w:rFonts w:ascii="宋体" w:hAnsi="宋体" w:eastAsiaTheme="minorEastAsia" w:cstheme="minorBidi"/>
      <w:sz w:val="24"/>
      <w:szCs w:val="22"/>
    </w:rPr>
  </w:style>
  <w:style w:type="character" w:customStyle="1" w:styleId="173">
    <w:name w:val="纯文本 Char"/>
    <w:qFormat/>
    <w:uiPriority w:val="0"/>
    <w:rPr>
      <w:rFonts w:ascii="宋体" w:hAnsi="宋体" w:eastAsia="宋体"/>
      <w:kern w:val="2"/>
      <w:sz w:val="21"/>
      <w:szCs w:val="24"/>
      <w:lang w:val="en-US" w:eastAsia="zh-CN" w:bidi="ar-SA"/>
    </w:rPr>
  </w:style>
  <w:style w:type="character" w:customStyle="1" w:styleId="174">
    <w:name w:val="h3 Char"/>
    <w:qFormat/>
    <w:uiPriority w:val="0"/>
    <w:rPr>
      <w:kern w:val="2"/>
      <w:sz w:val="24"/>
    </w:rPr>
  </w:style>
  <w:style w:type="character" w:customStyle="1" w:styleId="175">
    <w:name w:val="case31"/>
    <w:qFormat/>
    <w:uiPriority w:val="0"/>
    <w:rPr>
      <w:rFonts w:hint="default" w:eastAsia="宋体"/>
      <w:kern w:val="2"/>
      <w:sz w:val="21"/>
      <w:lang w:val="en-US" w:eastAsia="zh-CN"/>
    </w:rPr>
  </w:style>
  <w:style w:type="character" w:customStyle="1" w:styleId="176">
    <w:name w:val="标题 8 字符"/>
    <w:link w:val="12"/>
    <w:qFormat/>
    <w:uiPriority w:val="0"/>
    <w:rPr>
      <w:rFonts w:ascii="Arial" w:hAnsi="Arial" w:eastAsia="黑体" w:cs="Times New Roman"/>
      <w:kern w:val="0"/>
      <w:sz w:val="24"/>
      <w:szCs w:val="24"/>
      <w:lang w:val="zh-CN" w:eastAsia="zh-CN"/>
    </w:rPr>
  </w:style>
  <w:style w:type="character" w:customStyle="1" w:styleId="177">
    <w:name w:val="Variable"/>
    <w:qFormat/>
    <w:uiPriority w:val="0"/>
    <w:rPr>
      <w:i/>
    </w:rPr>
  </w:style>
  <w:style w:type="character" w:customStyle="1" w:styleId="178">
    <w:name w:val="标题 2 Char Char"/>
    <w:qFormat/>
    <w:uiPriority w:val="0"/>
    <w:rPr>
      <w:rFonts w:ascii="Arial" w:hAnsi="Arial" w:eastAsia="黑体"/>
      <w:b/>
      <w:bCs/>
      <w:kern w:val="2"/>
      <w:sz w:val="32"/>
      <w:szCs w:val="32"/>
      <w:lang w:val="en-US" w:eastAsia="zh-CN" w:bidi="ar-SA"/>
    </w:rPr>
  </w:style>
  <w:style w:type="character" w:customStyle="1" w:styleId="179">
    <w:name w:val="Char Char16"/>
    <w:qFormat/>
    <w:uiPriority w:val="0"/>
    <w:rPr>
      <w:b/>
      <w:bCs/>
      <w:kern w:val="2"/>
      <w:sz w:val="32"/>
      <w:szCs w:val="32"/>
    </w:rPr>
  </w:style>
  <w:style w:type="character" w:customStyle="1" w:styleId="180">
    <w:name w:val="纯文本 字符"/>
    <w:link w:val="30"/>
    <w:qFormat/>
    <w:uiPriority w:val="0"/>
    <w:rPr>
      <w:rFonts w:ascii="宋体" w:hAnsi="Courier New" w:cs="Courier New"/>
      <w:szCs w:val="21"/>
    </w:rPr>
  </w:style>
  <w:style w:type="character" w:customStyle="1" w:styleId="181">
    <w:name w:val="正文2 Char Char"/>
    <w:link w:val="182"/>
    <w:qFormat/>
    <w:uiPriority w:val="0"/>
    <w:rPr>
      <w:rFonts w:eastAsia="仿宋_GB2312"/>
      <w:sz w:val="28"/>
    </w:rPr>
  </w:style>
  <w:style w:type="paragraph" w:customStyle="1" w:styleId="182">
    <w:name w:val="正文2 Char"/>
    <w:basedOn w:val="1"/>
    <w:link w:val="181"/>
    <w:qFormat/>
    <w:uiPriority w:val="0"/>
    <w:pPr>
      <w:spacing w:before="62" w:beforeLines="20" w:after="62" w:afterLines="20" w:line="360" w:lineRule="auto"/>
      <w:ind w:firstLine="200" w:firstLineChars="200"/>
    </w:pPr>
    <w:rPr>
      <w:rFonts w:eastAsia="仿宋_GB2312" w:asciiTheme="minorHAnsi" w:hAnsiTheme="minorHAnsi" w:cstheme="minorBidi"/>
      <w:sz w:val="28"/>
      <w:szCs w:val="22"/>
    </w:rPr>
  </w:style>
  <w:style w:type="character" w:customStyle="1" w:styleId="183">
    <w:name w:val="unnamed11"/>
    <w:qFormat/>
    <w:uiPriority w:val="0"/>
    <w:rPr>
      <w:color w:val="000000"/>
      <w:sz w:val="18"/>
      <w:szCs w:val="18"/>
      <w:u w:val="none"/>
    </w:rPr>
  </w:style>
  <w:style w:type="character" w:customStyle="1" w:styleId="184">
    <w:name w:val="H2 Char1"/>
    <w:qFormat/>
    <w:uiPriority w:val="0"/>
    <w:rPr>
      <w:rFonts w:ascii="宋体" w:hAnsi="宋体" w:eastAsia="宋体"/>
      <w:b/>
      <w:bCs/>
      <w:kern w:val="2"/>
      <w:sz w:val="22"/>
      <w:szCs w:val="24"/>
      <w:lang w:val="en-US" w:eastAsia="zh-CN" w:bidi="ar-SA"/>
    </w:rPr>
  </w:style>
  <w:style w:type="character" w:customStyle="1" w:styleId="185">
    <w:name w:val="wenben1"/>
    <w:qFormat/>
    <w:uiPriority w:val="0"/>
    <w:rPr>
      <w:u w:val="none"/>
    </w:rPr>
  </w:style>
  <w:style w:type="character" w:customStyle="1" w:styleId="186">
    <w:name w:val="批注框文本 字符"/>
    <w:link w:val="35"/>
    <w:qFormat/>
    <w:uiPriority w:val="0"/>
    <w:rPr>
      <w:sz w:val="18"/>
      <w:szCs w:val="18"/>
    </w:rPr>
  </w:style>
  <w:style w:type="character" w:customStyle="1" w:styleId="187">
    <w:name w:val="正文缩进 字符"/>
    <w:link w:val="8"/>
    <w:qFormat/>
    <w:uiPriority w:val="0"/>
    <w:rPr>
      <w:rFonts w:eastAsia="宋体"/>
      <w:sz w:val="24"/>
      <w:szCs w:val="24"/>
    </w:rPr>
  </w:style>
  <w:style w:type="character" w:customStyle="1" w:styleId="188">
    <w:name w:val="标题3 Char Char"/>
    <w:qFormat/>
    <w:uiPriority w:val="0"/>
    <w:rPr>
      <w:rFonts w:eastAsia="仿宋_GB2312"/>
      <w:bCs/>
      <w:kern w:val="2"/>
      <w:sz w:val="28"/>
      <w:szCs w:val="32"/>
      <w:lang w:val="en-US" w:eastAsia="zh-CN" w:bidi="ar-SA"/>
    </w:rPr>
  </w:style>
  <w:style w:type="character" w:customStyle="1" w:styleId="189">
    <w:name w:val="标书正文 Char"/>
    <w:link w:val="190"/>
    <w:qFormat/>
    <w:uiPriority w:val="0"/>
    <w:rPr>
      <w:rFonts w:eastAsia="仿宋_GB2312"/>
      <w:sz w:val="28"/>
      <w:szCs w:val="24"/>
    </w:rPr>
  </w:style>
  <w:style w:type="paragraph" w:customStyle="1" w:styleId="190">
    <w:name w:val="标书正文"/>
    <w:basedOn w:val="1"/>
    <w:link w:val="189"/>
    <w:qFormat/>
    <w:uiPriority w:val="0"/>
    <w:pPr>
      <w:ind w:firstLine="200" w:firstLineChars="200"/>
    </w:pPr>
    <w:rPr>
      <w:rFonts w:eastAsia="仿宋_GB2312" w:asciiTheme="minorHAnsi" w:hAnsiTheme="minorHAnsi" w:cstheme="minorBidi"/>
      <w:sz w:val="28"/>
      <w:szCs w:val="24"/>
    </w:rPr>
  </w:style>
  <w:style w:type="character" w:customStyle="1" w:styleId="191">
    <w:name w:val="明显强调1"/>
    <w:qFormat/>
    <w:uiPriority w:val="0"/>
    <w:rPr>
      <w:b/>
      <w:bCs/>
      <w:i/>
      <w:iCs/>
      <w:color w:val="4F81BD"/>
    </w:rPr>
  </w:style>
  <w:style w:type="character" w:customStyle="1" w:styleId="192">
    <w:name w:val="不明显参考1"/>
    <w:qFormat/>
    <w:uiPriority w:val="0"/>
    <w:rPr>
      <w:smallCaps/>
      <w:color w:val="C0504D"/>
      <w:u w:val="single"/>
    </w:rPr>
  </w:style>
  <w:style w:type="character" w:customStyle="1" w:styleId="193">
    <w:name w:val="标题 Char"/>
    <w:qFormat/>
    <w:uiPriority w:val="0"/>
    <w:rPr>
      <w:rFonts w:ascii="Arial" w:hAnsi="Arial" w:eastAsia="宋体"/>
      <w:b/>
      <w:sz w:val="32"/>
      <w:lang w:val="en-US" w:eastAsia="zh-CN" w:bidi="ar-SA"/>
    </w:rPr>
  </w:style>
  <w:style w:type="character" w:customStyle="1" w:styleId="194">
    <w:name w:val="标题4 Char4"/>
    <w:qFormat/>
    <w:uiPriority w:val="0"/>
    <w:rPr>
      <w:rFonts w:eastAsia="宋体"/>
      <w:sz w:val="24"/>
      <w:szCs w:val="24"/>
      <w:lang w:val="en-US" w:eastAsia="zh-CN" w:bidi="ar-SA"/>
    </w:rPr>
  </w:style>
  <w:style w:type="character" w:customStyle="1" w:styleId="195">
    <w:name w:val="正文首行缩进两字 Char"/>
    <w:link w:val="196"/>
    <w:qFormat/>
    <w:uiPriority w:val="0"/>
    <w:rPr>
      <w:rFonts w:ascii="宋体" w:hAnsi="宋体" w:eastAsia="Times New Roman"/>
      <w:kern w:val="2"/>
      <w:sz w:val="28"/>
      <w:szCs w:val="28"/>
    </w:rPr>
  </w:style>
  <w:style w:type="paragraph" w:customStyle="1" w:styleId="196">
    <w:name w:val="正文首行缩进两字"/>
    <w:link w:val="195"/>
    <w:qFormat/>
    <w:uiPriority w:val="0"/>
    <w:pPr>
      <w:numPr>
        <w:ilvl w:val="0"/>
        <w:numId w:val="3"/>
      </w:numPr>
      <w:tabs>
        <w:tab w:val="left" w:pos="420"/>
      </w:tabs>
      <w:spacing w:after="156" w:afterLines="50" w:line="360" w:lineRule="auto"/>
      <w:ind w:right="240"/>
    </w:pPr>
    <w:rPr>
      <w:rFonts w:ascii="宋体" w:hAnsi="宋体" w:eastAsia="Times New Roman" w:cstheme="minorBidi"/>
      <w:kern w:val="2"/>
      <w:sz w:val="28"/>
      <w:szCs w:val="28"/>
      <w:lang w:val="en-US" w:eastAsia="zh-CN" w:bidi="ar-SA"/>
    </w:rPr>
  </w:style>
  <w:style w:type="character" w:customStyle="1" w:styleId="197">
    <w:name w:val="标题2 Char Char"/>
    <w:link w:val="198"/>
    <w:qFormat/>
    <w:uiPriority w:val="0"/>
    <w:rPr>
      <w:rFonts w:eastAsia="仿宋_GB2312"/>
      <w:b/>
      <w:bCs/>
      <w:color w:val="000000"/>
      <w:kern w:val="44"/>
      <w:sz w:val="32"/>
      <w:szCs w:val="44"/>
    </w:rPr>
  </w:style>
  <w:style w:type="paragraph" w:customStyle="1" w:styleId="198">
    <w:name w:val="标题2 Char"/>
    <w:basedOn w:val="4"/>
    <w:link w:val="197"/>
    <w:qFormat/>
    <w:uiPriority w:val="0"/>
    <w:pPr>
      <w:spacing w:before="0" w:after="0"/>
    </w:pPr>
    <w:rPr>
      <w:rFonts w:eastAsia="仿宋_GB2312" w:asciiTheme="minorHAnsi" w:hAnsiTheme="minorHAnsi" w:cstheme="minorBidi"/>
      <w:color w:val="000000"/>
      <w:sz w:val="32"/>
      <w:lang w:val="en-US"/>
    </w:rPr>
  </w:style>
  <w:style w:type="character" w:customStyle="1" w:styleId="199">
    <w:name w:val="标题 3 字符"/>
    <w:link w:val="6"/>
    <w:qFormat/>
    <w:uiPriority w:val="0"/>
    <w:rPr>
      <w:rFonts w:ascii="Times New Roman" w:hAnsi="Times New Roman" w:eastAsia="宋体" w:cs="Times New Roman"/>
      <w:b/>
      <w:bCs/>
      <w:sz w:val="32"/>
      <w:szCs w:val="32"/>
      <w:lang w:val="zh-CN" w:eastAsia="zh-CN"/>
    </w:rPr>
  </w:style>
  <w:style w:type="character" w:customStyle="1" w:styleId="200">
    <w:name w:val="页眉 字符"/>
    <w:qFormat/>
    <w:uiPriority w:val="0"/>
    <w:rPr>
      <w:kern w:val="2"/>
      <w:sz w:val="18"/>
      <w:szCs w:val="18"/>
    </w:rPr>
  </w:style>
  <w:style w:type="character" w:customStyle="1" w:styleId="201">
    <w:name w:val="HTML 预设格式 字符"/>
    <w:link w:val="49"/>
    <w:qFormat/>
    <w:uiPriority w:val="0"/>
    <w:rPr>
      <w:rFonts w:ascii="宋体" w:hAnsi="Courier New" w:eastAsia="宋体"/>
      <w:sz w:val="24"/>
      <w:szCs w:val="24"/>
    </w:rPr>
  </w:style>
  <w:style w:type="character" w:customStyle="1" w:styleId="202">
    <w:name w:val="脚注文本 字符"/>
    <w:link w:val="42"/>
    <w:qFormat/>
    <w:uiPriority w:val="0"/>
    <w:rPr>
      <w:rFonts w:eastAsia="宋体"/>
      <w:sz w:val="24"/>
      <w:szCs w:val="24"/>
    </w:rPr>
  </w:style>
  <w:style w:type="character" w:customStyle="1" w:styleId="203">
    <w:name w:val="文档结构图 字符"/>
    <w:link w:val="18"/>
    <w:qFormat/>
    <w:uiPriority w:val="0"/>
    <w:rPr>
      <w:shd w:val="clear" w:color="auto" w:fill="000080"/>
    </w:rPr>
  </w:style>
  <w:style w:type="character" w:customStyle="1" w:styleId="204">
    <w:name w:val="H1 Char"/>
    <w:qFormat/>
    <w:uiPriority w:val="0"/>
    <w:rPr>
      <w:rFonts w:eastAsia="仿宋_GB2312"/>
      <w:b/>
      <w:bCs/>
      <w:kern w:val="44"/>
      <w:sz w:val="36"/>
      <w:szCs w:val="44"/>
      <w:lang w:val="en-US" w:eastAsia="zh-CN" w:bidi="ar-SA"/>
    </w:rPr>
  </w:style>
  <w:style w:type="character" w:customStyle="1" w:styleId="205">
    <w:name w:val="批注主题 Char"/>
    <w:qFormat/>
    <w:uiPriority w:val="0"/>
    <w:rPr>
      <w:rFonts w:eastAsia="宋体"/>
      <w:b/>
      <w:bCs/>
      <w:kern w:val="2"/>
      <w:sz w:val="21"/>
      <w:szCs w:val="24"/>
      <w:lang w:val="en-US" w:eastAsia="zh-CN" w:bidi="ar-SA"/>
    </w:rPr>
  </w:style>
  <w:style w:type="character" w:customStyle="1" w:styleId="206">
    <w:name w:val="副标题 字符"/>
    <w:link w:val="40"/>
    <w:qFormat/>
    <w:uiPriority w:val="0"/>
    <w:rPr>
      <w:rFonts w:ascii="Cambria" w:hAnsi="Cambria"/>
      <w:b/>
      <w:bCs/>
      <w:kern w:val="28"/>
      <w:sz w:val="32"/>
      <w:szCs w:val="32"/>
    </w:rPr>
  </w:style>
  <w:style w:type="character" w:customStyle="1" w:styleId="207">
    <w:name w:val="明显引用 字符"/>
    <w:link w:val="208"/>
    <w:qFormat/>
    <w:uiPriority w:val="0"/>
    <w:rPr>
      <w:b/>
      <w:bCs/>
      <w:i/>
      <w:iCs/>
      <w:color w:val="4F81BD"/>
    </w:rPr>
  </w:style>
  <w:style w:type="paragraph" w:customStyle="1" w:styleId="208">
    <w:name w:val="明显引用1"/>
    <w:basedOn w:val="1"/>
    <w:next w:val="1"/>
    <w:link w:val="207"/>
    <w:qFormat/>
    <w:uiPriority w:val="0"/>
    <w:pPr>
      <w:pBdr>
        <w:bottom w:val="single" w:color="4F81BD" w:sz="4" w:space="4"/>
      </w:pBdr>
      <w:spacing w:before="200" w:after="280"/>
      <w:ind w:left="936" w:right="936"/>
    </w:pPr>
    <w:rPr>
      <w:rFonts w:asciiTheme="minorHAnsi" w:hAnsiTheme="minorHAnsi" w:eastAsiaTheme="minorEastAsia" w:cstheme="minorBidi"/>
      <w:b/>
      <w:bCs/>
      <w:i/>
      <w:iCs/>
      <w:color w:val="4F81BD"/>
      <w:szCs w:val="22"/>
    </w:rPr>
  </w:style>
  <w:style w:type="character" w:customStyle="1" w:styleId="209">
    <w:name w:val="style011"/>
    <w:qFormat/>
    <w:uiPriority w:val="0"/>
    <w:rPr>
      <w:sz w:val="24"/>
      <w:szCs w:val="24"/>
      <w:u w:val="single"/>
    </w:rPr>
  </w:style>
  <w:style w:type="character" w:customStyle="1" w:styleId="210">
    <w:name w:val="日期 Char1"/>
    <w:qFormat/>
    <w:uiPriority w:val="0"/>
    <w:rPr>
      <w:kern w:val="2"/>
      <w:sz w:val="21"/>
      <w:szCs w:val="22"/>
    </w:rPr>
  </w:style>
  <w:style w:type="character" w:customStyle="1" w:styleId="211">
    <w:name w:val="文档正文 Char"/>
    <w:link w:val="212"/>
    <w:qFormat/>
    <w:uiPriority w:val="0"/>
    <w:rPr>
      <w:rFonts w:ascii="长城仿宋"/>
      <w:sz w:val="24"/>
    </w:rPr>
  </w:style>
  <w:style w:type="paragraph" w:customStyle="1" w:styleId="212">
    <w:name w:val="文档正文"/>
    <w:basedOn w:val="1"/>
    <w:link w:val="211"/>
    <w:qFormat/>
    <w:uiPriority w:val="0"/>
    <w:pPr>
      <w:adjustRightInd w:val="0"/>
      <w:spacing w:line="480" w:lineRule="atLeast"/>
      <w:ind w:firstLine="567"/>
      <w:textAlignment w:val="baseline"/>
    </w:pPr>
    <w:rPr>
      <w:rFonts w:ascii="长城仿宋" w:hAnsiTheme="minorHAnsi" w:eastAsiaTheme="minorEastAsia" w:cstheme="minorBidi"/>
      <w:sz w:val="24"/>
      <w:szCs w:val="22"/>
    </w:rPr>
  </w:style>
  <w:style w:type="character" w:customStyle="1" w:styleId="213">
    <w:name w:val="批注文字 Char Char"/>
    <w:qFormat/>
    <w:uiPriority w:val="0"/>
    <w:rPr>
      <w:rFonts w:ascii="宋体" w:hAnsi="Times New Roman" w:eastAsia="宋体" w:cs="Times New Roman"/>
      <w:sz w:val="28"/>
      <w:szCs w:val="20"/>
    </w:rPr>
  </w:style>
  <w:style w:type="character" w:customStyle="1" w:styleId="214">
    <w:name w:val="Char Char161"/>
    <w:qFormat/>
    <w:uiPriority w:val="0"/>
    <w:rPr>
      <w:b/>
      <w:bCs/>
      <w:kern w:val="2"/>
      <w:sz w:val="32"/>
      <w:szCs w:val="32"/>
    </w:rPr>
  </w:style>
  <w:style w:type="character" w:customStyle="1" w:styleId="215">
    <w:name w:val="mytext Char"/>
    <w:link w:val="216"/>
    <w:qFormat/>
    <w:uiPriority w:val="0"/>
    <w:rPr>
      <w:rFonts w:eastAsia="宋体"/>
      <w:sz w:val="24"/>
    </w:rPr>
  </w:style>
  <w:style w:type="paragraph" w:customStyle="1" w:styleId="216">
    <w:name w:val="mytext"/>
    <w:basedOn w:val="1"/>
    <w:link w:val="215"/>
    <w:qFormat/>
    <w:uiPriority w:val="0"/>
    <w:pPr>
      <w:spacing w:line="300" w:lineRule="auto"/>
      <w:ind w:firstLine="480" w:firstLineChars="200"/>
    </w:pPr>
    <w:rPr>
      <w:rFonts w:asciiTheme="minorHAnsi" w:hAnsiTheme="minorHAnsi" w:cstheme="minorBidi"/>
      <w:sz w:val="24"/>
      <w:szCs w:val="22"/>
    </w:rPr>
  </w:style>
  <w:style w:type="character" w:customStyle="1" w:styleId="217">
    <w:name w:val="textcontents"/>
    <w:basedOn w:val="58"/>
    <w:qFormat/>
    <w:uiPriority w:val="0"/>
    <w:rPr>
      <w:szCs w:val="24"/>
    </w:rPr>
  </w:style>
  <w:style w:type="character" w:customStyle="1" w:styleId="218">
    <w:name w:val="bullet Char"/>
    <w:qFormat/>
    <w:uiPriority w:val="0"/>
    <w:rPr>
      <w:rFonts w:ascii="Arial" w:hAnsi="Arial" w:eastAsia="宋体"/>
      <w:kern w:val="2"/>
      <w:sz w:val="24"/>
      <w:lang w:bidi="ar-SA"/>
    </w:rPr>
  </w:style>
  <w:style w:type="character" w:customStyle="1" w:styleId="219">
    <w:name w:val="标题 4 字符"/>
    <w:link w:val="7"/>
    <w:qFormat/>
    <w:uiPriority w:val="0"/>
    <w:rPr>
      <w:rFonts w:ascii="Arial" w:hAnsi="Arial" w:eastAsia="黑体" w:cs="Times New Roman"/>
      <w:b/>
      <w:bCs/>
      <w:sz w:val="28"/>
      <w:szCs w:val="28"/>
      <w:lang w:val="zh-CN" w:eastAsia="zh-CN"/>
    </w:rPr>
  </w:style>
  <w:style w:type="character" w:customStyle="1" w:styleId="220">
    <w:name w:val="blacktext"/>
    <w:basedOn w:val="58"/>
    <w:qFormat/>
    <w:uiPriority w:val="0"/>
    <w:rPr>
      <w:szCs w:val="24"/>
    </w:rPr>
  </w:style>
  <w:style w:type="character" w:customStyle="1" w:styleId="221">
    <w:name w:val="nbsp"/>
    <w:basedOn w:val="58"/>
    <w:qFormat/>
    <w:uiPriority w:val="0"/>
    <w:rPr>
      <w:szCs w:val="24"/>
    </w:rPr>
  </w:style>
  <w:style w:type="character" w:customStyle="1" w:styleId="222">
    <w:name w:val="正文文本 (3)6"/>
    <w:qFormat/>
    <w:uiPriority w:val="0"/>
    <w:rPr>
      <w:rFonts w:ascii="宋体" w:cs="宋体"/>
      <w:szCs w:val="24"/>
      <w:u w:val="single"/>
      <w:shd w:val="clear" w:color="auto" w:fill="FFFFFF"/>
    </w:rPr>
  </w:style>
  <w:style w:type="character" w:customStyle="1" w:styleId="223">
    <w:name w:val="日期 字符"/>
    <w:link w:val="32"/>
    <w:qFormat/>
    <w:uiPriority w:val="0"/>
    <w:rPr>
      <w:szCs w:val="24"/>
    </w:rPr>
  </w:style>
  <w:style w:type="character" w:customStyle="1" w:styleId="224">
    <w:name w:val="书籍标题1"/>
    <w:qFormat/>
    <w:uiPriority w:val="0"/>
    <w:rPr>
      <w:b/>
      <w:bCs/>
      <w:smallCaps/>
      <w:spacing w:val="5"/>
    </w:rPr>
  </w:style>
  <w:style w:type="character" w:customStyle="1" w:styleId="225">
    <w:name w:val="Char Char29"/>
    <w:qFormat/>
    <w:uiPriority w:val="0"/>
    <w:rPr>
      <w:rFonts w:ascii="Arial" w:hAnsi="Arial" w:eastAsia="黑体"/>
      <w:b/>
      <w:kern w:val="2"/>
      <w:sz w:val="24"/>
      <w:lang w:bidi="ar-SA"/>
    </w:rPr>
  </w:style>
  <w:style w:type="character" w:customStyle="1" w:styleId="226">
    <w:name w:val="boldtitle1"/>
    <w:qFormat/>
    <w:uiPriority w:val="0"/>
    <w:rPr>
      <w:rFonts w:hint="default" w:ascii="Arial Black" w:hAnsi="Arial Black"/>
      <w:sz w:val="36"/>
    </w:rPr>
  </w:style>
  <w:style w:type="character" w:customStyle="1" w:styleId="227">
    <w:name w:val="引用 Char1"/>
    <w:qFormat/>
    <w:uiPriority w:val="29"/>
    <w:rPr>
      <w:i/>
      <w:iCs/>
      <w:color w:val="000000"/>
      <w:kern w:val="2"/>
      <w:sz w:val="21"/>
      <w:szCs w:val="24"/>
    </w:rPr>
  </w:style>
  <w:style w:type="character" w:customStyle="1" w:styleId="228">
    <w:name w:val="标题二 Char Char"/>
    <w:qFormat/>
    <w:uiPriority w:val="0"/>
    <w:rPr>
      <w:rFonts w:ascii="Cambria" w:hAnsi="Cambria" w:eastAsia="宋体"/>
      <w:kern w:val="28"/>
      <w:sz w:val="32"/>
      <w:szCs w:val="32"/>
      <w:lang w:bidi="ar-SA"/>
    </w:rPr>
  </w:style>
  <w:style w:type="character" w:customStyle="1" w:styleId="229">
    <w:name w:val="apple-converted-space"/>
    <w:unhideWhenUsed/>
    <w:qFormat/>
    <w:uiPriority w:val="0"/>
    <w:rPr>
      <w:rFonts w:hint="default" w:ascii="Times New Roman" w:hAnsi="Times New Roman" w:eastAsia="宋体"/>
    </w:rPr>
  </w:style>
  <w:style w:type="character" w:customStyle="1" w:styleId="230">
    <w:name w:val="Char Char18"/>
    <w:qFormat/>
    <w:uiPriority w:val="0"/>
    <w:rPr>
      <w:b/>
      <w:bCs/>
      <w:kern w:val="44"/>
      <w:sz w:val="44"/>
      <w:szCs w:val="44"/>
    </w:rPr>
  </w:style>
  <w:style w:type="character" w:customStyle="1" w:styleId="231">
    <w:name w:val="Char Char8"/>
    <w:qFormat/>
    <w:uiPriority w:val="0"/>
    <w:rPr>
      <w:rFonts w:eastAsia="宋体"/>
      <w:kern w:val="2"/>
      <w:sz w:val="18"/>
      <w:szCs w:val="18"/>
      <w:lang w:val="en-US" w:eastAsia="zh-CN" w:bidi="ar-SA"/>
    </w:rPr>
  </w:style>
  <w:style w:type="character" w:customStyle="1" w:styleId="232">
    <w:name w:val="highlight1"/>
    <w:qFormat/>
    <w:uiPriority w:val="0"/>
    <w:rPr>
      <w:sz w:val="21"/>
      <w:szCs w:val="21"/>
    </w:rPr>
  </w:style>
  <w:style w:type="character" w:customStyle="1" w:styleId="233">
    <w:name w:val="body1"/>
    <w:qFormat/>
    <w:uiPriority w:val="0"/>
    <w:rPr>
      <w:rFonts w:hint="default"/>
      <w:sz w:val="18"/>
      <w:szCs w:val="18"/>
    </w:rPr>
  </w:style>
  <w:style w:type="character" w:customStyle="1" w:styleId="234">
    <w:name w:val="批注主题 Char1"/>
    <w:qFormat/>
    <w:uiPriority w:val="0"/>
    <w:rPr>
      <w:b/>
      <w:bCs/>
      <w:kern w:val="2"/>
      <w:sz w:val="21"/>
      <w:szCs w:val="22"/>
    </w:rPr>
  </w:style>
  <w:style w:type="character" w:customStyle="1" w:styleId="235">
    <w:name w:val="纯文本 Char2"/>
    <w:basedOn w:val="58"/>
    <w:semiHidden/>
    <w:qFormat/>
    <w:uiPriority w:val="99"/>
    <w:rPr>
      <w:rFonts w:ascii="宋体" w:hAnsi="Courier New" w:eastAsia="宋体" w:cs="Courier New"/>
      <w:szCs w:val="21"/>
    </w:rPr>
  </w:style>
  <w:style w:type="character" w:customStyle="1" w:styleId="236">
    <w:name w:val="HTML 预设格式 Char"/>
    <w:basedOn w:val="58"/>
    <w:semiHidden/>
    <w:qFormat/>
    <w:uiPriority w:val="99"/>
    <w:rPr>
      <w:rFonts w:ascii="Courier New" w:hAnsi="Courier New" w:eastAsia="宋体" w:cs="Courier New"/>
      <w:sz w:val="20"/>
      <w:szCs w:val="20"/>
    </w:rPr>
  </w:style>
  <w:style w:type="character" w:customStyle="1" w:styleId="237">
    <w:name w:val="日期 Char"/>
    <w:basedOn w:val="58"/>
    <w:semiHidden/>
    <w:qFormat/>
    <w:uiPriority w:val="99"/>
    <w:rPr>
      <w:rFonts w:ascii="Times New Roman" w:hAnsi="Times New Roman" w:eastAsia="宋体" w:cs="Times New Roman"/>
      <w:szCs w:val="20"/>
    </w:rPr>
  </w:style>
  <w:style w:type="character" w:customStyle="1" w:styleId="238">
    <w:name w:val="文档结构图 Char2"/>
    <w:basedOn w:val="58"/>
    <w:semiHidden/>
    <w:qFormat/>
    <w:uiPriority w:val="99"/>
    <w:rPr>
      <w:rFonts w:ascii="Microsoft YaHei UI" w:hAnsi="Times New Roman" w:eastAsia="Microsoft YaHei UI" w:cs="Times New Roman"/>
      <w:sz w:val="18"/>
      <w:szCs w:val="18"/>
    </w:rPr>
  </w:style>
  <w:style w:type="character" w:customStyle="1" w:styleId="239">
    <w:name w:val="正文文本缩进 字符1"/>
    <w:basedOn w:val="58"/>
    <w:link w:val="23"/>
    <w:semiHidden/>
    <w:qFormat/>
    <w:uiPriority w:val="99"/>
    <w:rPr>
      <w:rFonts w:ascii="Times New Roman" w:hAnsi="Times New Roman" w:eastAsia="宋体" w:cs="Times New Roman"/>
      <w:szCs w:val="20"/>
    </w:rPr>
  </w:style>
  <w:style w:type="character" w:customStyle="1" w:styleId="240">
    <w:name w:val="正文文本首行缩进 2 字符"/>
    <w:basedOn w:val="239"/>
    <w:link w:val="55"/>
    <w:qFormat/>
    <w:uiPriority w:val="0"/>
    <w:rPr>
      <w:rFonts w:ascii="Times New Roman" w:hAnsi="Times New Roman" w:eastAsia="仿宋_GB2312" w:cs="Times New Roman"/>
      <w:sz w:val="25"/>
      <w:szCs w:val="24"/>
    </w:rPr>
  </w:style>
  <w:style w:type="character" w:customStyle="1" w:styleId="241">
    <w:name w:val="标题 Char1"/>
    <w:basedOn w:val="58"/>
    <w:qFormat/>
    <w:uiPriority w:val="10"/>
    <w:rPr>
      <w:rFonts w:eastAsia="宋体" w:asciiTheme="majorHAnsi" w:hAnsiTheme="majorHAnsi" w:cstheme="majorBidi"/>
      <w:b/>
      <w:bCs/>
      <w:sz w:val="32"/>
      <w:szCs w:val="32"/>
    </w:rPr>
  </w:style>
  <w:style w:type="character" w:customStyle="1" w:styleId="242">
    <w:name w:val="正文文本 2 字符"/>
    <w:basedOn w:val="58"/>
    <w:link w:val="48"/>
    <w:qFormat/>
    <w:uiPriority w:val="0"/>
    <w:rPr>
      <w:rFonts w:ascii="Times New Roman" w:hAnsi="Times New Roman" w:eastAsia="Times New Roman" w:cs="Times New Roman"/>
      <w:sz w:val="28"/>
      <w:szCs w:val="20"/>
      <w:lang w:val="en-US" w:eastAsia="zh-CN"/>
    </w:rPr>
  </w:style>
  <w:style w:type="character" w:customStyle="1" w:styleId="243">
    <w:name w:val="脚注文本 Char"/>
    <w:basedOn w:val="58"/>
    <w:semiHidden/>
    <w:qFormat/>
    <w:uiPriority w:val="99"/>
    <w:rPr>
      <w:rFonts w:ascii="Times New Roman" w:hAnsi="Times New Roman" w:eastAsia="宋体" w:cs="Times New Roman"/>
      <w:sz w:val="18"/>
      <w:szCs w:val="18"/>
    </w:rPr>
  </w:style>
  <w:style w:type="character" w:customStyle="1" w:styleId="244">
    <w:name w:val="副标题 Char2"/>
    <w:basedOn w:val="58"/>
    <w:qFormat/>
    <w:uiPriority w:val="11"/>
    <w:rPr>
      <w:rFonts w:eastAsia="宋体" w:asciiTheme="majorHAnsi" w:hAnsiTheme="majorHAnsi" w:cstheme="majorBidi"/>
      <w:b/>
      <w:bCs/>
      <w:kern w:val="28"/>
      <w:sz w:val="32"/>
      <w:szCs w:val="32"/>
    </w:rPr>
  </w:style>
  <w:style w:type="character" w:customStyle="1" w:styleId="245">
    <w:name w:val="批注文字 Char1"/>
    <w:basedOn w:val="58"/>
    <w:semiHidden/>
    <w:qFormat/>
    <w:uiPriority w:val="99"/>
    <w:rPr>
      <w:rFonts w:ascii="Times New Roman" w:hAnsi="Times New Roman" w:eastAsia="宋体" w:cs="Times New Roman"/>
      <w:szCs w:val="20"/>
    </w:rPr>
  </w:style>
  <w:style w:type="character" w:customStyle="1" w:styleId="246">
    <w:name w:val="正文文本 Char"/>
    <w:basedOn w:val="58"/>
    <w:semiHidden/>
    <w:qFormat/>
    <w:uiPriority w:val="99"/>
    <w:rPr>
      <w:rFonts w:ascii="Times New Roman" w:hAnsi="Times New Roman" w:eastAsia="宋体" w:cs="Times New Roman"/>
      <w:szCs w:val="20"/>
    </w:rPr>
  </w:style>
  <w:style w:type="character" w:customStyle="1" w:styleId="247">
    <w:name w:val="批注主题 Char2"/>
    <w:basedOn w:val="245"/>
    <w:semiHidden/>
    <w:qFormat/>
    <w:uiPriority w:val="99"/>
    <w:rPr>
      <w:rFonts w:ascii="Times New Roman" w:hAnsi="Times New Roman" w:eastAsia="宋体" w:cs="Times New Roman"/>
      <w:b/>
      <w:bCs/>
      <w:szCs w:val="20"/>
    </w:rPr>
  </w:style>
  <w:style w:type="character" w:customStyle="1" w:styleId="248">
    <w:name w:val="批注框文本 Char2"/>
    <w:basedOn w:val="58"/>
    <w:semiHidden/>
    <w:qFormat/>
    <w:uiPriority w:val="99"/>
    <w:rPr>
      <w:rFonts w:ascii="Times New Roman" w:hAnsi="Times New Roman" w:eastAsia="宋体" w:cs="Times New Roman"/>
      <w:sz w:val="18"/>
      <w:szCs w:val="18"/>
    </w:rPr>
  </w:style>
  <w:style w:type="character" w:customStyle="1" w:styleId="249">
    <w:name w:val="正文文本缩进 2 Char"/>
    <w:basedOn w:val="58"/>
    <w:semiHidden/>
    <w:qFormat/>
    <w:uiPriority w:val="99"/>
    <w:rPr>
      <w:rFonts w:ascii="Times New Roman" w:hAnsi="Times New Roman" w:eastAsia="宋体" w:cs="Times New Roman"/>
      <w:szCs w:val="20"/>
    </w:rPr>
  </w:style>
  <w:style w:type="character" w:customStyle="1" w:styleId="250">
    <w:name w:val="正文文本缩进 3 Char"/>
    <w:basedOn w:val="58"/>
    <w:semiHidden/>
    <w:qFormat/>
    <w:uiPriority w:val="99"/>
    <w:rPr>
      <w:rFonts w:ascii="Times New Roman" w:hAnsi="Times New Roman" w:eastAsia="宋体" w:cs="Times New Roman"/>
      <w:sz w:val="16"/>
      <w:szCs w:val="16"/>
    </w:rPr>
  </w:style>
  <w:style w:type="character" w:customStyle="1" w:styleId="251">
    <w:name w:val="正文文本 3 Char"/>
    <w:basedOn w:val="58"/>
    <w:semiHidden/>
    <w:qFormat/>
    <w:uiPriority w:val="99"/>
    <w:rPr>
      <w:rFonts w:ascii="Times New Roman" w:hAnsi="Times New Roman" w:eastAsia="宋体" w:cs="Times New Roman"/>
      <w:sz w:val="16"/>
      <w:szCs w:val="16"/>
    </w:rPr>
  </w:style>
  <w:style w:type="character" w:customStyle="1" w:styleId="252">
    <w:name w:val="正文文本首行缩进 字符"/>
    <w:basedOn w:val="246"/>
    <w:link w:val="54"/>
    <w:qFormat/>
    <w:uiPriority w:val="0"/>
    <w:rPr>
      <w:rFonts w:ascii="Times New Roman" w:hAnsi="Times New Roman" w:eastAsia="Times New Roman" w:cs="Times New Roman"/>
      <w:sz w:val="28"/>
      <w:szCs w:val="24"/>
      <w:lang w:val="en-US" w:eastAsia="zh-CN"/>
    </w:rPr>
  </w:style>
  <w:style w:type="character" w:customStyle="1" w:styleId="253">
    <w:name w:val="尾注文本 字符"/>
    <w:basedOn w:val="58"/>
    <w:link w:val="34"/>
    <w:qFormat/>
    <w:uiPriority w:val="0"/>
    <w:rPr>
      <w:rFonts w:ascii="Times New Roman" w:hAnsi="Times New Roman" w:eastAsia="宋体" w:cs="Times New Roman"/>
      <w:sz w:val="24"/>
      <w:szCs w:val="24"/>
    </w:rPr>
  </w:style>
  <w:style w:type="paragraph" w:customStyle="1" w:styleId="254">
    <w:name w:val="font5"/>
    <w:basedOn w:val="1"/>
    <w:qFormat/>
    <w:uiPriority w:val="0"/>
    <w:pPr>
      <w:widowControl/>
      <w:spacing w:before="100" w:beforeAutospacing="1" w:after="100" w:afterAutospacing="1"/>
      <w:jc w:val="left"/>
    </w:pPr>
    <w:rPr>
      <w:rFonts w:hint="eastAsia" w:ascii="宋体" w:hAnsi="宋体"/>
      <w:kern w:val="0"/>
      <w:sz w:val="18"/>
    </w:rPr>
  </w:style>
  <w:style w:type="paragraph" w:customStyle="1" w:styleId="255">
    <w:name w:val="font1"/>
    <w:basedOn w:val="1"/>
    <w:qFormat/>
    <w:uiPriority w:val="0"/>
    <w:pPr>
      <w:widowControl/>
      <w:spacing w:before="100" w:beforeAutospacing="1" w:after="100" w:afterAutospacing="1" w:line="300" w:lineRule="atLeast"/>
      <w:jc w:val="left"/>
    </w:pPr>
    <w:rPr>
      <w:rFonts w:ascii="宋体" w:hAnsi="宋体"/>
      <w:kern w:val="0"/>
      <w:sz w:val="18"/>
    </w:rPr>
  </w:style>
  <w:style w:type="paragraph" w:customStyle="1" w:styleId="256">
    <w:name w:val="ÕýÎÄ 1"/>
    <w:basedOn w:val="1"/>
    <w:qFormat/>
    <w:uiPriority w:val="0"/>
    <w:pPr>
      <w:widowControl/>
      <w:overflowPunct w:val="0"/>
      <w:autoSpaceDE w:val="0"/>
      <w:autoSpaceDN w:val="0"/>
      <w:adjustRightInd w:val="0"/>
      <w:spacing w:before="80" w:after="80" w:line="360" w:lineRule="auto"/>
      <w:ind w:left="1417"/>
      <w:textAlignment w:val="baseline"/>
    </w:pPr>
    <w:rPr>
      <w:kern w:val="0"/>
    </w:rPr>
  </w:style>
  <w:style w:type="paragraph" w:customStyle="1" w:styleId="257">
    <w:name w:val="4-ST-点"/>
    <w:basedOn w:val="9"/>
    <w:qFormat/>
    <w:uiPriority w:val="0"/>
    <w:pPr>
      <w:adjustRightInd w:val="0"/>
      <w:snapToGrid w:val="0"/>
      <w:spacing w:beforeLines="30" w:afterLines="30" w:line="312" w:lineRule="auto"/>
    </w:pPr>
    <w:rPr>
      <w:rFonts w:ascii="楷体_GB2312" w:hAnsi="Times New Roman" w:eastAsia="楷体_GB2312"/>
    </w:rPr>
  </w:style>
  <w:style w:type="paragraph" w:customStyle="1" w:styleId="258">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59">
    <w:name w:val="xl2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b/>
      <w:kern w:val="0"/>
      <w:sz w:val="20"/>
    </w:rPr>
  </w:style>
  <w:style w:type="paragraph" w:customStyle="1" w:styleId="260">
    <w:name w:val="标书正文11"/>
    <w:basedOn w:val="1"/>
    <w:qFormat/>
    <w:uiPriority w:val="0"/>
    <w:pPr>
      <w:spacing w:line="360" w:lineRule="auto"/>
      <w:ind w:firstLine="200" w:firstLineChars="200"/>
    </w:pPr>
    <w:rPr>
      <w:rFonts w:ascii="宋体" w:hAnsi="宋体"/>
      <w:kern w:val="44"/>
      <w:sz w:val="24"/>
      <w:szCs w:val="24"/>
    </w:rPr>
  </w:style>
  <w:style w:type="paragraph" w:customStyle="1" w:styleId="261">
    <w:name w:val="一级条标题"/>
    <w:basedOn w:val="262"/>
    <w:next w:val="1"/>
    <w:qFormat/>
    <w:uiPriority w:val="0"/>
    <w:pPr>
      <w:numPr>
        <w:ilvl w:val="2"/>
      </w:numPr>
      <w:tabs>
        <w:tab w:val="left" w:pos="992"/>
      </w:tabs>
      <w:spacing w:before="0" w:beforeLines="0" w:after="0" w:afterLines="0"/>
      <w:outlineLvl w:val="2"/>
    </w:pPr>
  </w:style>
  <w:style w:type="paragraph" w:customStyle="1" w:styleId="262">
    <w:name w:val="章标题"/>
    <w:next w:val="1"/>
    <w:qFormat/>
    <w:uiPriority w:val="0"/>
    <w:pPr>
      <w:numPr>
        <w:ilvl w:val="1"/>
        <w:numId w:val="4"/>
      </w:numPr>
      <w:spacing w:before="50" w:beforeLines="50" w:after="50" w:afterLines="50"/>
      <w:jc w:val="both"/>
      <w:outlineLvl w:val="1"/>
    </w:pPr>
    <w:rPr>
      <w:rFonts w:ascii="黑体" w:hAnsi="Times New Roman" w:eastAsia="黑体" w:cs="Times New Roman"/>
      <w:sz w:val="21"/>
      <w:lang w:val="en-US" w:eastAsia="zh-CN" w:bidi="ar-SA"/>
    </w:rPr>
  </w:style>
  <w:style w:type="paragraph" w:customStyle="1" w:styleId="263">
    <w:name w:val="2册标题2"/>
    <w:basedOn w:val="1"/>
    <w:next w:val="1"/>
    <w:qFormat/>
    <w:uiPriority w:val="0"/>
    <w:pPr>
      <w:spacing w:before="156" w:beforeLines="50" w:after="156" w:afterLines="50" w:line="300" w:lineRule="auto"/>
      <w:outlineLvl w:val="1"/>
    </w:pPr>
    <w:rPr>
      <w:rFonts w:ascii="Arial" w:hAnsi="Arial" w:eastAsia="黑体"/>
      <w:sz w:val="30"/>
    </w:rPr>
  </w:style>
  <w:style w:type="paragraph" w:customStyle="1" w:styleId="264">
    <w:name w:val="无编号标题2"/>
    <w:next w:val="1"/>
    <w:qFormat/>
    <w:uiPriority w:val="0"/>
    <w:pPr>
      <w:jc w:val="center"/>
    </w:pPr>
    <w:rPr>
      <w:rFonts w:ascii="Arial" w:hAnsi="Arial" w:eastAsia="黑体" w:cs="Times New Roman"/>
      <w:kern w:val="2"/>
      <w:sz w:val="32"/>
      <w:szCs w:val="32"/>
      <w:lang w:val="en-US" w:eastAsia="zh-CN" w:bidi="ar-SA"/>
    </w:rPr>
  </w:style>
  <w:style w:type="paragraph" w:customStyle="1" w:styleId="265">
    <w:name w:val="Char1 Char Char Char"/>
    <w:basedOn w:val="1"/>
    <w:qFormat/>
    <w:uiPriority w:val="0"/>
    <w:rPr>
      <w:szCs w:val="24"/>
    </w:rPr>
  </w:style>
  <w:style w:type="paragraph" w:customStyle="1" w:styleId="266">
    <w:name w:val="样式2"/>
    <w:basedOn w:val="5"/>
    <w:qFormat/>
    <w:uiPriority w:val="0"/>
    <w:pPr>
      <w:spacing w:before="260" w:after="260"/>
    </w:pPr>
    <w:rPr>
      <w:rFonts w:ascii="黑体" w:hAnsi="Times New Roman"/>
      <w:b/>
    </w:rPr>
  </w:style>
  <w:style w:type="paragraph" w:customStyle="1" w:styleId="267">
    <w:name w:val="Decimal Aligned"/>
    <w:basedOn w:val="1"/>
    <w:qFormat/>
    <w:uiPriority w:val="0"/>
    <w:pPr>
      <w:widowControl/>
      <w:tabs>
        <w:tab w:val="decimal" w:pos="360"/>
      </w:tabs>
      <w:spacing w:after="200" w:line="276" w:lineRule="auto"/>
      <w:jc w:val="left"/>
    </w:pPr>
    <w:rPr>
      <w:rFonts w:ascii="Calibri" w:hAnsi="Calibri"/>
      <w:kern w:val="0"/>
      <w:sz w:val="22"/>
      <w:szCs w:val="22"/>
    </w:rPr>
  </w:style>
  <w:style w:type="paragraph" w:customStyle="1" w:styleId="268">
    <w:name w:val="Char Char Char Char Char Char1 Char Char Char Char Char Char Char Char Char Char Char Char Char"/>
    <w:basedOn w:val="1"/>
    <w:qFormat/>
    <w:uiPriority w:val="0"/>
    <w:rPr>
      <w:szCs w:val="24"/>
    </w:rPr>
  </w:style>
  <w:style w:type="paragraph" w:customStyle="1" w:styleId="269">
    <w:name w:val="3-ST-小节"/>
    <w:basedOn w:val="7"/>
    <w:next w:val="270"/>
    <w:qFormat/>
    <w:uiPriority w:val="0"/>
    <w:pPr>
      <w:spacing w:beforeLines="50" w:after="120" w:line="240" w:lineRule="auto"/>
    </w:pPr>
    <w:rPr>
      <w:rFonts w:eastAsia="楷体_GB2312"/>
    </w:rPr>
  </w:style>
  <w:style w:type="paragraph" w:customStyle="1" w:styleId="270">
    <w:name w:val="10-ST-正文"/>
    <w:basedOn w:val="1"/>
    <w:qFormat/>
    <w:uiPriority w:val="0"/>
    <w:pPr>
      <w:adjustRightInd w:val="0"/>
      <w:snapToGrid w:val="0"/>
      <w:spacing w:line="360" w:lineRule="auto"/>
      <w:ind w:firstLine="200" w:firstLineChars="200"/>
    </w:pPr>
    <w:rPr>
      <w:sz w:val="24"/>
      <w:szCs w:val="28"/>
    </w:rPr>
  </w:style>
  <w:style w:type="paragraph" w:customStyle="1" w:styleId="271">
    <w:name w:val="Char1 Char Char Char Char Char Char"/>
    <w:basedOn w:val="1"/>
    <w:qFormat/>
    <w:uiPriority w:val="0"/>
    <w:rPr>
      <w:rFonts w:ascii="Tahoma" w:hAnsi="Tahoma"/>
      <w:sz w:val="24"/>
    </w:rPr>
  </w:style>
  <w:style w:type="paragraph" w:customStyle="1" w:styleId="272">
    <w:name w:val="正文文字缩进 2"/>
    <w:basedOn w:val="1"/>
    <w:qFormat/>
    <w:uiPriority w:val="0"/>
    <w:pPr>
      <w:spacing w:line="719" w:lineRule="atLeast"/>
      <w:ind w:left="1" w:firstLine="562"/>
      <w:textAlignment w:val="bottom"/>
    </w:pPr>
    <w:rPr>
      <w:color w:val="000000"/>
      <w:kern w:val="0"/>
      <w:sz w:val="28"/>
    </w:rPr>
  </w:style>
  <w:style w:type="paragraph" w:customStyle="1" w:styleId="273">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274">
    <w:name w:val="二级条标题"/>
    <w:basedOn w:val="261"/>
    <w:next w:val="1"/>
    <w:qFormat/>
    <w:uiPriority w:val="0"/>
    <w:pPr>
      <w:numPr>
        <w:ilvl w:val="3"/>
      </w:numPr>
      <w:outlineLvl w:val="3"/>
    </w:pPr>
  </w:style>
  <w:style w:type="paragraph" w:customStyle="1" w:styleId="275">
    <w:name w:val="表格文字"/>
    <w:basedOn w:val="1"/>
    <w:qFormat/>
    <w:uiPriority w:val="0"/>
    <w:pPr>
      <w:adjustRightInd w:val="0"/>
      <w:spacing w:line="420" w:lineRule="atLeast"/>
      <w:jc w:val="left"/>
      <w:textAlignment w:val="baseline"/>
    </w:pPr>
    <w:rPr>
      <w:kern w:val="0"/>
    </w:rPr>
  </w:style>
  <w:style w:type="paragraph" w:customStyle="1" w:styleId="276">
    <w:name w:val="Char Char Char1 Char"/>
    <w:basedOn w:val="1"/>
    <w:qFormat/>
    <w:uiPriority w:val="0"/>
    <w:rPr>
      <w:szCs w:val="24"/>
    </w:rPr>
  </w:style>
  <w:style w:type="paragraph" w:customStyle="1" w:styleId="277">
    <w:name w:val="修订1"/>
    <w:qFormat/>
    <w:uiPriority w:val="0"/>
    <w:rPr>
      <w:rFonts w:ascii="Times New Roman" w:hAnsi="Times New Roman" w:eastAsia="宋体" w:cs="Times New Roman"/>
      <w:kern w:val="2"/>
      <w:sz w:val="21"/>
      <w:szCs w:val="24"/>
      <w:lang w:val="en-US" w:eastAsia="zh-CN" w:bidi="ar-SA"/>
    </w:rPr>
  </w:style>
  <w:style w:type="paragraph" w:customStyle="1" w:styleId="278">
    <w:name w:val="xl36"/>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kern w:val="0"/>
      <w:sz w:val="24"/>
    </w:rPr>
  </w:style>
  <w:style w:type="paragraph" w:customStyle="1" w:styleId="279">
    <w:name w:val="Char Char Char Char Char Char1 Char Char Char Char Char Char Char"/>
    <w:basedOn w:val="1"/>
    <w:qFormat/>
    <w:uiPriority w:val="0"/>
    <w:rPr>
      <w:szCs w:val="24"/>
    </w:rPr>
  </w:style>
  <w:style w:type="paragraph" w:customStyle="1" w:styleId="280">
    <w:name w:val="xl3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kern w:val="0"/>
      <w:sz w:val="24"/>
    </w:rPr>
  </w:style>
  <w:style w:type="paragraph" w:customStyle="1" w:styleId="281">
    <w:name w:val="Char"/>
    <w:basedOn w:val="1"/>
    <w:qFormat/>
    <w:uiPriority w:val="0"/>
    <w:rPr>
      <w:rFonts w:ascii="Tahoma" w:hAnsi="Tahoma"/>
      <w:sz w:val="24"/>
    </w:rPr>
  </w:style>
  <w:style w:type="paragraph" w:customStyle="1" w:styleId="282">
    <w:name w:val="Char Char Char Char Char Char Char Char Char"/>
    <w:basedOn w:val="1"/>
    <w:qFormat/>
    <w:uiPriority w:val="0"/>
    <w:rPr>
      <w:szCs w:val="24"/>
    </w:rPr>
  </w:style>
  <w:style w:type="paragraph" w:customStyle="1" w:styleId="283">
    <w:name w:val="a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84">
    <w:name w:val="È±Ê¡ÎÄ±¾"/>
    <w:basedOn w:val="1"/>
    <w:qFormat/>
    <w:uiPriority w:val="0"/>
    <w:pPr>
      <w:widowControl/>
      <w:overflowPunct w:val="0"/>
      <w:autoSpaceDE w:val="0"/>
      <w:autoSpaceDN w:val="0"/>
      <w:adjustRightInd w:val="0"/>
      <w:jc w:val="left"/>
    </w:pPr>
    <w:rPr>
      <w:kern w:val="0"/>
      <w:sz w:val="24"/>
    </w:rPr>
  </w:style>
  <w:style w:type="paragraph" w:customStyle="1" w:styleId="285">
    <w:name w:val="Char Char Char Char Char Char1 Char Char Char1"/>
    <w:basedOn w:val="1"/>
    <w:qFormat/>
    <w:uiPriority w:val="0"/>
    <w:rPr>
      <w:szCs w:val="24"/>
    </w:rPr>
  </w:style>
  <w:style w:type="paragraph" w:customStyle="1" w:styleId="286">
    <w:name w:val="Char Char Char Char Char Char1 Char Char Char Char Char Char Char Char Char Char Char Char Char Char Char Char Char Char Char Char Char Char"/>
    <w:basedOn w:val="1"/>
    <w:qFormat/>
    <w:uiPriority w:val="0"/>
    <w:rPr>
      <w:szCs w:val="24"/>
    </w:rPr>
  </w:style>
  <w:style w:type="paragraph" w:customStyle="1" w:styleId="287">
    <w:name w:val="Char Char2"/>
    <w:basedOn w:val="18"/>
    <w:qFormat/>
    <w:uiPriority w:val="0"/>
    <w:rPr>
      <w:rFonts w:ascii="Tahoma" w:hAnsi="Tahoma"/>
      <w:sz w:val="24"/>
      <w:szCs w:val="24"/>
    </w:rPr>
  </w:style>
  <w:style w:type="paragraph" w:customStyle="1" w:styleId="288">
    <w:name w:val="正文3"/>
    <w:basedOn w:val="1"/>
    <w:qFormat/>
    <w:uiPriority w:val="0"/>
    <w:pPr>
      <w:widowControl/>
      <w:spacing w:line="360" w:lineRule="auto"/>
      <w:ind w:firstLine="280" w:firstLineChars="100"/>
      <w:jc w:val="left"/>
    </w:pPr>
    <w:rPr>
      <w:rFonts w:ascii="宋体" w:hAnsi="宋体"/>
      <w:sz w:val="28"/>
    </w:rPr>
  </w:style>
  <w:style w:type="paragraph" w:customStyle="1" w:styleId="289">
    <w:name w:val="xl29"/>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kern w:val="0"/>
      <w:sz w:val="20"/>
    </w:rPr>
  </w:style>
  <w:style w:type="paragraph" w:customStyle="1" w:styleId="290">
    <w:name w:val="样式5"/>
    <w:basedOn w:val="1"/>
    <w:qFormat/>
    <w:uiPriority w:val="0"/>
    <w:pPr>
      <w:adjustRightInd w:val="0"/>
      <w:snapToGrid w:val="0"/>
      <w:spacing w:line="520" w:lineRule="exact"/>
      <w:ind w:firstLine="480" w:firstLineChars="200"/>
    </w:pPr>
    <w:rPr>
      <w:rFonts w:ascii="仿宋_GB2312" w:eastAsia="仿宋_GB2312"/>
      <w:sz w:val="24"/>
    </w:rPr>
  </w:style>
  <w:style w:type="paragraph" w:customStyle="1" w:styleId="291">
    <w:name w:val="标题1"/>
    <w:basedOn w:val="1"/>
    <w:next w:val="1"/>
    <w:qFormat/>
    <w:uiPriority w:val="0"/>
    <w:pPr>
      <w:tabs>
        <w:tab w:val="left" w:pos="9193"/>
        <w:tab w:val="left" w:pos="9827"/>
      </w:tabs>
      <w:autoSpaceDE w:val="0"/>
      <w:autoSpaceDN w:val="0"/>
      <w:snapToGrid w:val="0"/>
      <w:spacing w:line="700" w:lineRule="atLeast"/>
      <w:jc w:val="center"/>
    </w:pPr>
    <w:rPr>
      <w:rFonts w:eastAsia="方正小标宋_GBK"/>
      <w:snapToGrid w:val="0"/>
      <w:kern w:val="0"/>
      <w:sz w:val="44"/>
    </w:rPr>
  </w:style>
  <w:style w:type="paragraph" w:customStyle="1" w:styleId="292">
    <w:name w:val="最终正文"/>
    <w:basedOn w:val="1"/>
    <w:qFormat/>
    <w:uiPriority w:val="0"/>
    <w:pPr>
      <w:spacing w:line="360" w:lineRule="auto"/>
      <w:ind w:firstLine="420"/>
    </w:pPr>
    <w:rPr>
      <w:rFonts w:ascii="仿宋_GB2312" w:hAnsi="宋体"/>
      <w:bCs/>
      <w:caps/>
      <w:sz w:val="24"/>
      <w:szCs w:val="24"/>
    </w:rPr>
  </w:style>
  <w:style w:type="paragraph" w:customStyle="1" w:styleId="293">
    <w:name w:val="正文缩进2格"/>
    <w:basedOn w:val="1"/>
    <w:qFormat/>
    <w:uiPriority w:val="0"/>
    <w:pPr>
      <w:spacing w:line="600" w:lineRule="exact"/>
      <w:ind w:firstLine="639" w:firstLineChars="206"/>
    </w:pPr>
    <w:rPr>
      <w:rFonts w:ascii="仿宋_GB2312" w:hAnsi="宋体" w:eastAsia="仿宋_GB2312"/>
      <w:sz w:val="31"/>
      <w:szCs w:val="28"/>
    </w:rPr>
  </w:style>
  <w:style w:type="paragraph" w:customStyle="1" w:styleId="294">
    <w:name w:val="Char Char Char Char Char Char1 Char Char Char Char Char Char Char Char Char Char Char Char1 Char Char Char Char"/>
    <w:basedOn w:val="1"/>
    <w:qFormat/>
    <w:uiPriority w:val="0"/>
  </w:style>
  <w:style w:type="paragraph" w:customStyle="1" w:styleId="295">
    <w:name w:val="+正文"/>
    <w:basedOn w:val="1"/>
    <w:qFormat/>
    <w:uiPriority w:val="0"/>
    <w:pPr>
      <w:spacing w:line="360" w:lineRule="auto"/>
      <w:ind w:firstLine="200" w:firstLineChars="200"/>
    </w:pPr>
    <w:rPr>
      <w:sz w:val="24"/>
      <w:szCs w:val="28"/>
    </w:rPr>
  </w:style>
  <w:style w:type="paragraph" w:customStyle="1" w:styleId="296">
    <w:name w:val="样式 行距: 固定值 25 磅 首行缩进:  2 字符"/>
    <w:basedOn w:val="1"/>
    <w:qFormat/>
    <w:uiPriority w:val="0"/>
    <w:pPr>
      <w:adjustRightInd w:val="0"/>
      <w:spacing w:line="500" w:lineRule="exact"/>
      <w:ind w:firstLine="560" w:firstLineChars="200"/>
      <w:textAlignment w:val="baseline"/>
    </w:pPr>
    <w:rPr>
      <w:kern w:val="0"/>
      <w:sz w:val="28"/>
      <w:szCs w:val="28"/>
    </w:rPr>
  </w:style>
  <w:style w:type="paragraph" w:customStyle="1" w:styleId="297">
    <w:name w:val="缺省文本:1"/>
    <w:basedOn w:val="1"/>
    <w:qFormat/>
    <w:uiPriority w:val="0"/>
    <w:pPr>
      <w:autoSpaceDE w:val="0"/>
      <w:autoSpaceDN w:val="0"/>
      <w:adjustRightInd w:val="0"/>
      <w:jc w:val="left"/>
    </w:pPr>
    <w:rPr>
      <w:rFonts w:ascii="宋体"/>
      <w:kern w:val="0"/>
      <w:sz w:val="24"/>
    </w:rPr>
  </w:style>
  <w:style w:type="paragraph" w:customStyle="1" w:styleId="298">
    <w:name w:val="正文段"/>
    <w:basedOn w:val="1"/>
    <w:qFormat/>
    <w:uiPriority w:val="0"/>
    <w:pPr>
      <w:widowControl/>
      <w:adjustRightInd w:val="0"/>
      <w:spacing w:after="240" w:line="360" w:lineRule="atLeast"/>
      <w:ind w:firstLine="454"/>
      <w:textAlignment w:val="bottom"/>
    </w:pPr>
    <w:rPr>
      <w:rFonts w:ascii="宋体"/>
      <w:kern w:val="0"/>
      <w:sz w:val="24"/>
    </w:rPr>
  </w:style>
  <w:style w:type="paragraph" w:customStyle="1" w:styleId="299">
    <w:name w:val="图注"/>
    <w:qFormat/>
    <w:uiPriority w:val="0"/>
    <w:pPr>
      <w:spacing w:after="156" w:afterLines="50"/>
      <w:jc w:val="center"/>
    </w:pPr>
    <w:rPr>
      <w:rFonts w:ascii="Times New Roman" w:hAnsi="Times New Roman" w:eastAsia="宋体" w:cs="Times New Roman"/>
      <w:kern w:val="2"/>
      <w:sz w:val="24"/>
      <w:szCs w:val="24"/>
      <w:lang w:val="en-US" w:eastAsia="zh-CN" w:bidi="ar-SA"/>
    </w:rPr>
  </w:style>
  <w:style w:type="paragraph" w:customStyle="1" w:styleId="300">
    <w:name w:val="Char Char Char Char Char Char Char Char Char Char Char Char Char Char Char Char"/>
    <w:basedOn w:val="1"/>
    <w:qFormat/>
    <w:uiPriority w:val="0"/>
    <w:pPr>
      <w:tabs>
        <w:tab w:val="left" w:pos="360"/>
      </w:tabs>
    </w:pPr>
    <w:rPr>
      <w:sz w:val="24"/>
      <w:szCs w:val="24"/>
    </w:rPr>
  </w:style>
  <w:style w:type="paragraph" w:customStyle="1" w:styleId="301">
    <w:name w:val="无编号标题0"/>
    <w:next w:val="1"/>
    <w:qFormat/>
    <w:uiPriority w:val="0"/>
    <w:pPr>
      <w:jc w:val="center"/>
    </w:pPr>
    <w:rPr>
      <w:rFonts w:ascii="Times New Roman" w:hAnsi="Times New Roman" w:eastAsia="黑体" w:cs="Times New Roman"/>
      <w:kern w:val="2"/>
      <w:sz w:val="52"/>
      <w:szCs w:val="24"/>
      <w:lang w:val="en-US" w:eastAsia="zh-CN" w:bidi="ar-SA"/>
    </w:rPr>
  </w:style>
  <w:style w:type="paragraph" w:customStyle="1" w:styleId="302">
    <w:name w:val="Char Char Char Char Char Char Char"/>
    <w:basedOn w:val="1"/>
    <w:qFormat/>
    <w:uiPriority w:val="0"/>
    <w:rPr>
      <w:szCs w:val="24"/>
    </w:rPr>
  </w:style>
  <w:style w:type="paragraph" w:customStyle="1" w:styleId="303">
    <w:name w:val="xl34"/>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top"/>
    </w:pPr>
    <w:rPr>
      <w:rFonts w:ascii="Arial Unicode MS" w:hAnsi="Arial Unicode MS" w:eastAsia="Arial Unicode MS"/>
      <w:kern w:val="0"/>
      <w:sz w:val="24"/>
    </w:rPr>
  </w:style>
  <w:style w:type="paragraph" w:customStyle="1" w:styleId="304">
    <w:name w:val="并列正文"/>
    <w:basedOn w:val="1"/>
    <w:qFormat/>
    <w:uiPriority w:val="0"/>
    <w:pPr>
      <w:spacing w:before="156" w:beforeLines="50" w:after="156" w:afterLines="50" w:line="360" w:lineRule="auto"/>
    </w:pPr>
    <w:rPr>
      <w:rFonts w:ascii="仿宋_GB2312" w:hAnsi="宋体" w:eastAsia="仿宋_GB2312"/>
      <w:b/>
      <w:bCs/>
      <w:color w:val="000000"/>
      <w:sz w:val="24"/>
      <w:szCs w:val="24"/>
    </w:rPr>
  </w:style>
  <w:style w:type="paragraph" w:customStyle="1" w:styleId="305">
    <w:name w:val="6'"/>
    <w:basedOn w:val="1"/>
    <w:qFormat/>
    <w:uiPriority w:val="0"/>
    <w:pPr>
      <w:autoSpaceDE w:val="0"/>
      <w:autoSpaceDN w:val="0"/>
      <w:adjustRightInd w:val="0"/>
      <w:snapToGrid w:val="0"/>
      <w:spacing w:line="320" w:lineRule="exact"/>
      <w:jc w:val="center"/>
      <w:textAlignment w:val="baseline"/>
    </w:pPr>
    <w:rPr>
      <w:spacing w:val="20"/>
      <w:kern w:val="28"/>
    </w:rPr>
  </w:style>
  <w:style w:type="paragraph" w:customStyle="1" w:styleId="306">
    <w:name w:val="Char Char Char Char Char Char Char Char Char Char"/>
    <w:basedOn w:val="1"/>
    <w:qFormat/>
    <w:uiPriority w:val="0"/>
  </w:style>
  <w:style w:type="paragraph" w:customStyle="1" w:styleId="307">
    <w:name w:val="2-ST-节"/>
    <w:basedOn w:val="6"/>
    <w:next w:val="270"/>
    <w:qFormat/>
    <w:uiPriority w:val="0"/>
    <w:pPr>
      <w:spacing w:before="160" w:after="160" w:line="240" w:lineRule="auto"/>
    </w:pPr>
    <w:rPr>
      <w:rFonts w:ascii="Arial" w:hAnsi="Arial" w:eastAsia="楷体_GB2312"/>
      <w:shadow/>
      <w:sz w:val="30"/>
    </w:rPr>
  </w:style>
  <w:style w:type="paragraph" w:customStyle="1" w:styleId="308">
    <w:name w:val="百姓X"/>
    <w:basedOn w:val="1"/>
    <w:qFormat/>
    <w:uiPriority w:val="0"/>
    <w:pPr>
      <w:spacing w:before="120" w:after="120" w:line="360" w:lineRule="auto"/>
      <w:ind w:firstLine="539"/>
    </w:pPr>
    <w:rPr>
      <w:sz w:val="24"/>
    </w:rPr>
  </w:style>
  <w:style w:type="paragraph" w:customStyle="1" w:styleId="309">
    <w:name w:val="无编号标题3"/>
    <w:next w:val="1"/>
    <w:qFormat/>
    <w:uiPriority w:val="0"/>
    <w:pPr>
      <w:jc w:val="center"/>
    </w:pPr>
    <w:rPr>
      <w:rFonts w:ascii="Times New Roman" w:hAnsi="Times New Roman" w:eastAsia="宋体" w:cs="Times New Roman"/>
      <w:b/>
      <w:kern w:val="2"/>
      <w:sz w:val="32"/>
      <w:szCs w:val="24"/>
      <w:lang w:val="en-US" w:eastAsia="zh-CN" w:bidi="ar-SA"/>
    </w:rPr>
  </w:style>
  <w:style w:type="paragraph" w:customStyle="1" w:styleId="310">
    <w:name w:val="z-窗体顶端1"/>
    <w:basedOn w:val="1"/>
    <w:next w:val="1"/>
    <w:link w:val="311"/>
    <w:qFormat/>
    <w:uiPriority w:val="0"/>
    <w:pPr>
      <w:widowControl/>
      <w:pBdr>
        <w:bottom w:val="single" w:color="auto" w:sz="6" w:space="1"/>
      </w:pBdr>
      <w:jc w:val="center"/>
    </w:pPr>
    <w:rPr>
      <w:rFonts w:ascii="Arial" w:hAnsi="Arial" w:cs="Arial"/>
      <w:vanish/>
      <w:kern w:val="0"/>
      <w:sz w:val="16"/>
      <w:szCs w:val="16"/>
    </w:rPr>
  </w:style>
  <w:style w:type="character" w:customStyle="1" w:styleId="311">
    <w:name w:val="z-窗体顶端 Char"/>
    <w:basedOn w:val="58"/>
    <w:link w:val="310"/>
    <w:qFormat/>
    <w:uiPriority w:val="0"/>
    <w:rPr>
      <w:rFonts w:ascii="Arial" w:hAnsi="Arial" w:eastAsia="宋体" w:cs="Arial"/>
      <w:vanish/>
      <w:kern w:val="0"/>
      <w:sz w:val="16"/>
      <w:szCs w:val="16"/>
    </w:rPr>
  </w:style>
  <w:style w:type="paragraph" w:customStyle="1" w:styleId="312">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13">
    <w:name w:val="p0 paragraphindent"/>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314">
    <w:name w:val="引用 Char"/>
    <w:basedOn w:val="58"/>
    <w:qFormat/>
    <w:uiPriority w:val="29"/>
    <w:rPr>
      <w:rFonts w:ascii="Times New Roman" w:hAnsi="Times New Roman" w:eastAsia="宋体" w:cs="Times New Roman"/>
      <w:i/>
      <w:iCs/>
      <w:color w:val="404040" w:themeColor="text1" w:themeTint="BF"/>
      <w:szCs w:val="20"/>
      <w14:textFill>
        <w14:solidFill>
          <w14:schemeClr w14:val="tx1">
            <w14:lumMod w14:val="75000"/>
            <w14:lumOff w14:val="25000"/>
          </w14:schemeClr>
        </w14:solidFill>
      </w14:textFill>
    </w:rPr>
  </w:style>
  <w:style w:type="paragraph" w:customStyle="1" w:styleId="315">
    <w:name w:val="Bullet with text 1"/>
    <w:basedOn w:val="1"/>
    <w:qFormat/>
    <w:uiPriority w:val="0"/>
    <w:pPr>
      <w:widowControl/>
      <w:tabs>
        <w:tab w:val="left" w:pos="425"/>
      </w:tabs>
      <w:spacing w:line="360" w:lineRule="auto"/>
      <w:ind w:left="425" w:hanging="425"/>
      <w:jc w:val="left"/>
    </w:pPr>
    <w:rPr>
      <w:rFonts w:ascii="Futura Bk" w:hAnsi="Futura Bk"/>
      <w:kern w:val="0"/>
      <w:sz w:val="20"/>
      <w:lang w:val="en-GB"/>
    </w:rPr>
  </w:style>
  <w:style w:type="paragraph" w:customStyle="1" w:styleId="316">
    <w:name w:val="Address"/>
    <w:basedOn w:val="1"/>
    <w:next w:val="1"/>
    <w:qFormat/>
    <w:uiPriority w:val="0"/>
    <w:pPr>
      <w:autoSpaceDE w:val="0"/>
      <w:autoSpaceDN w:val="0"/>
      <w:adjustRightInd w:val="0"/>
      <w:jc w:val="left"/>
    </w:pPr>
    <w:rPr>
      <w:i/>
      <w:kern w:val="0"/>
      <w:sz w:val="24"/>
    </w:rPr>
  </w:style>
  <w:style w:type="paragraph" w:customStyle="1" w:styleId="317">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rPr>
  </w:style>
  <w:style w:type="paragraph" w:customStyle="1" w:styleId="318">
    <w:name w:val="正文内"/>
    <w:basedOn w:val="4"/>
    <w:qFormat/>
    <w:uiPriority w:val="0"/>
    <w:pPr>
      <w:spacing w:line="576" w:lineRule="auto"/>
    </w:pPr>
    <w:rPr>
      <w:sz w:val="21"/>
      <w:szCs w:val="21"/>
    </w:rPr>
  </w:style>
  <w:style w:type="paragraph" w:customStyle="1" w:styleId="319">
    <w:name w:val="样式 样式 样式 (符号) 宋体 四号 左 首行缩进:  2.5 字符 + 首行缩进:  2 字符 + 首行缩进:  2 字符"/>
    <w:basedOn w:val="1"/>
    <w:qFormat/>
    <w:uiPriority w:val="0"/>
    <w:pPr>
      <w:spacing w:line="360" w:lineRule="auto"/>
      <w:ind w:firstLine="200" w:firstLineChars="200"/>
      <w:jc w:val="left"/>
    </w:pPr>
    <w:rPr>
      <w:rFonts w:hAnsi="宋体"/>
      <w:sz w:val="28"/>
    </w:rPr>
  </w:style>
  <w:style w:type="paragraph" w:customStyle="1" w:styleId="320">
    <w:name w:val="Char Char Char Char Char Char Char Char Char Char Char Char Char"/>
    <w:basedOn w:val="1"/>
    <w:qFormat/>
    <w:uiPriority w:val="0"/>
  </w:style>
  <w:style w:type="paragraph" w:customStyle="1" w:styleId="321">
    <w:name w:val="Char Char Char Char"/>
    <w:basedOn w:val="1"/>
    <w:qFormat/>
    <w:uiPriority w:val="0"/>
  </w:style>
  <w:style w:type="paragraph" w:customStyle="1" w:styleId="322">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kern w:val="0"/>
      <w:sz w:val="20"/>
    </w:rPr>
  </w:style>
  <w:style w:type="paragraph" w:customStyle="1" w:styleId="323">
    <w:name w:val="Char Char Char Char Char Char Char1"/>
    <w:basedOn w:val="1"/>
    <w:qFormat/>
    <w:uiPriority w:val="0"/>
    <w:pPr>
      <w:widowControl/>
      <w:spacing w:after="160" w:line="240" w:lineRule="exact"/>
      <w:jc w:val="left"/>
    </w:pPr>
    <w:rPr>
      <w:rFonts w:ascii="Verdana" w:hAnsi="Verdana"/>
      <w:kern w:val="0"/>
      <w:sz w:val="20"/>
      <w:lang w:eastAsia="en-US"/>
    </w:rPr>
  </w:style>
  <w:style w:type="paragraph" w:customStyle="1" w:styleId="324">
    <w:name w:val="5"/>
    <w:basedOn w:val="1"/>
    <w:qFormat/>
    <w:uiPriority w:val="0"/>
    <w:pPr>
      <w:spacing w:before="156" w:beforeLines="50" w:after="156" w:afterLines="50"/>
      <w:ind w:left="200" w:leftChars="200"/>
    </w:pPr>
    <w:rPr>
      <w:sz w:val="28"/>
      <w:szCs w:val="24"/>
    </w:rPr>
  </w:style>
  <w:style w:type="paragraph" w:customStyle="1" w:styleId="325">
    <w:name w:val="Char Char Char Char Char Char Char Char"/>
    <w:basedOn w:val="1"/>
    <w:qFormat/>
    <w:uiPriority w:val="0"/>
    <w:pPr>
      <w:tabs>
        <w:tab w:val="left" w:pos="360"/>
      </w:tabs>
    </w:pPr>
    <w:rPr>
      <w:sz w:val="24"/>
      <w:szCs w:val="24"/>
    </w:rPr>
  </w:style>
  <w:style w:type="paragraph" w:customStyle="1" w:styleId="326">
    <w:name w:val="xl26"/>
    <w:basedOn w:val="1"/>
    <w:qFormat/>
    <w:uiPriority w:val="0"/>
    <w:pPr>
      <w:widowControl/>
      <w:pBdr>
        <w:top w:val="single" w:color="auto" w:sz="4" w:space="0"/>
        <w:bottom w:val="single" w:color="auto" w:sz="4" w:space="0"/>
      </w:pBdr>
      <w:spacing w:before="100" w:beforeAutospacing="1" w:after="100" w:afterAutospacing="1"/>
      <w:jc w:val="center"/>
    </w:pPr>
    <w:rPr>
      <w:rFonts w:ascii="Arial Unicode MS" w:hAnsi="Arial Unicode MS"/>
      <w:b/>
      <w:kern w:val="0"/>
      <w:sz w:val="20"/>
    </w:rPr>
  </w:style>
  <w:style w:type="paragraph" w:customStyle="1" w:styleId="327">
    <w:name w:val="正文0"/>
    <w:basedOn w:val="1"/>
    <w:qFormat/>
    <w:uiPriority w:val="0"/>
    <w:pPr>
      <w:spacing w:line="360" w:lineRule="auto"/>
      <w:ind w:firstLine="482"/>
      <w:jc w:val="center"/>
    </w:pPr>
    <w:rPr>
      <w:color w:val="000000"/>
      <w:sz w:val="24"/>
      <w:szCs w:val="24"/>
    </w:rPr>
  </w:style>
  <w:style w:type="paragraph" w:customStyle="1" w:styleId="328">
    <w:name w:val="paragraphinden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29">
    <w:name w:val="Char Char5 Char Char"/>
    <w:basedOn w:val="18"/>
    <w:qFormat/>
    <w:uiPriority w:val="0"/>
    <w:rPr>
      <w:rFonts w:ascii="Tahoma" w:hAnsi="Tahoma" w:eastAsia="Times New Roman"/>
      <w:sz w:val="24"/>
      <w:szCs w:val="24"/>
    </w:rPr>
  </w:style>
  <w:style w:type="paragraph" w:customStyle="1" w:styleId="330">
    <w:name w:val="Default"/>
    <w:qFormat/>
    <w:uiPriority w:val="0"/>
    <w:pPr>
      <w:widowControl w:val="0"/>
      <w:autoSpaceDE w:val="0"/>
      <w:autoSpaceDN w:val="0"/>
      <w:adjustRightInd w:val="0"/>
    </w:pPr>
    <w:rPr>
      <w:rFonts w:ascii="Times New Roman" w:hAnsi="Times New Roman" w:eastAsia="宋体" w:cs="Times New Roman"/>
      <w:color w:val="000000"/>
      <w:sz w:val="24"/>
      <w:lang w:val="en-US" w:eastAsia="zh-CN" w:bidi="ar-SA"/>
    </w:rPr>
  </w:style>
  <w:style w:type="paragraph" w:customStyle="1" w:styleId="331">
    <w:name w:val="Item List"/>
    <w:qFormat/>
    <w:uiPriority w:val="0"/>
    <w:pPr>
      <w:spacing w:line="300" w:lineRule="auto"/>
      <w:ind w:firstLine="425"/>
      <w:jc w:val="both"/>
    </w:pPr>
    <w:rPr>
      <w:rFonts w:ascii="Arial" w:hAnsi="Arial" w:eastAsia="宋体" w:cs="Times New Roman"/>
      <w:color w:val="000000"/>
      <w:sz w:val="24"/>
      <w:lang w:val="en-US" w:eastAsia="zh-CN" w:bidi="ar-SA"/>
    </w:rPr>
  </w:style>
  <w:style w:type="paragraph" w:customStyle="1" w:styleId="332">
    <w:name w:val="Char Char Char Char Char Char Char Char Char Char1"/>
    <w:basedOn w:val="1"/>
    <w:qFormat/>
    <w:uiPriority w:val="0"/>
  </w:style>
  <w:style w:type="paragraph" w:customStyle="1" w:styleId="333">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334">
    <w:name w:val="表格内容"/>
    <w:basedOn w:val="1"/>
    <w:qFormat/>
    <w:uiPriority w:val="0"/>
    <w:pPr>
      <w:widowControl/>
      <w:autoSpaceDE w:val="0"/>
      <w:autoSpaceDN w:val="0"/>
      <w:adjustRightInd w:val="0"/>
      <w:spacing w:before="60"/>
      <w:jc w:val="center"/>
      <w:textAlignment w:val="bottom"/>
    </w:pPr>
    <w:rPr>
      <w:rFonts w:eastAsia="仿宋_GB2312"/>
      <w:kern w:val="0"/>
      <w:sz w:val="24"/>
    </w:rPr>
  </w:style>
  <w:style w:type="paragraph" w:customStyle="1" w:styleId="335">
    <w:name w:val="默认段落字体 Para Char Char Char Char Char Char Char Char Char Char Char Char Char"/>
    <w:basedOn w:val="1"/>
    <w:qFormat/>
    <w:uiPriority w:val="0"/>
  </w:style>
  <w:style w:type="paragraph" w:customStyle="1" w:styleId="336">
    <w:name w:val="默认段落字体 Para Char"/>
    <w:basedOn w:val="1"/>
    <w:qFormat/>
    <w:uiPriority w:val="0"/>
    <w:rPr>
      <w:rFonts w:ascii="Tahoma" w:hAnsi="Tahoma"/>
      <w:sz w:val="24"/>
    </w:rPr>
  </w:style>
  <w:style w:type="paragraph" w:customStyle="1" w:styleId="337">
    <w:name w:val="Char Char Char Char Char Char Char Char Char Char Char Char Char1"/>
    <w:basedOn w:val="1"/>
    <w:qFormat/>
    <w:uiPriority w:val="0"/>
  </w:style>
  <w:style w:type="paragraph" w:customStyle="1" w:styleId="338">
    <w:name w:val="正文 + 宋体"/>
    <w:basedOn w:val="48"/>
    <w:qFormat/>
    <w:uiPriority w:val="0"/>
    <w:rPr>
      <w:rFonts w:ascii="宋体" w:hAnsi="宋体"/>
      <w:kern w:val="0"/>
      <w:sz w:val="24"/>
      <w:szCs w:val="24"/>
    </w:rPr>
  </w:style>
  <w:style w:type="paragraph" w:customStyle="1" w:styleId="339">
    <w:name w:val="Char Char Char Char Char Char1 Char Char Char Char Char Char Char Char Char Char Char Char Char Char Char Char Char Char Char Char Char Char1"/>
    <w:basedOn w:val="1"/>
    <w:qFormat/>
    <w:uiPriority w:val="0"/>
    <w:rPr>
      <w:szCs w:val="24"/>
    </w:rPr>
  </w:style>
  <w:style w:type="paragraph" w:customStyle="1" w:styleId="340">
    <w:name w:val="表注"/>
    <w:qFormat/>
    <w:uiPriority w:val="0"/>
    <w:pPr>
      <w:spacing w:before="156" w:beforeLines="50" w:after="156" w:afterLines="50"/>
      <w:jc w:val="center"/>
    </w:pPr>
    <w:rPr>
      <w:rFonts w:ascii="Times New Roman" w:hAnsi="Times New Roman" w:eastAsia="宋体" w:cs="Times New Roman"/>
      <w:kern w:val="2"/>
      <w:sz w:val="24"/>
      <w:szCs w:val="24"/>
      <w:lang w:val="en-US" w:eastAsia="zh-CN" w:bidi="ar-SA"/>
    </w:rPr>
  </w:style>
  <w:style w:type="paragraph" w:customStyle="1" w:styleId="341">
    <w:name w:val="Char Char Char Char Char Char1 Char Char Char Char Char Char Char Char Char Char Char Char Char1"/>
    <w:basedOn w:val="1"/>
    <w:qFormat/>
    <w:uiPriority w:val="0"/>
    <w:rPr>
      <w:szCs w:val="24"/>
    </w:rPr>
  </w:style>
  <w:style w:type="paragraph" w:customStyle="1" w:styleId="342">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kern w:val="0"/>
      <w:sz w:val="20"/>
    </w:rPr>
  </w:style>
  <w:style w:type="paragraph" w:customStyle="1" w:styleId="343">
    <w:name w:val="xl22"/>
    <w:basedOn w:val="1"/>
    <w:qFormat/>
    <w:uiPriority w:val="0"/>
    <w:pPr>
      <w:widowControl/>
      <w:pBdr>
        <w:bottom w:val="single" w:color="auto" w:sz="4" w:space="0"/>
        <w:right w:val="single" w:color="auto" w:sz="4" w:space="0"/>
      </w:pBdr>
      <w:spacing w:before="100" w:beforeAutospacing="1" w:after="100" w:afterAutospacing="1"/>
      <w:jc w:val="center"/>
    </w:pPr>
    <w:rPr>
      <w:rFonts w:eastAsia="Arial Unicode MS"/>
      <w:kern w:val="0"/>
      <w:sz w:val="20"/>
    </w:rPr>
  </w:style>
  <w:style w:type="paragraph" w:customStyle="1" w:styleId="344">
    <w:name w:val="浅色网格 - 强调文字颜色 31"/>
    <w:basedOn w:val="1"/>
    <w:qFormat/>
    <w:uiPriority w:val="0"/>
    <w:pPr>
      <w:ind w:firstLine="420" w:firstLineChars="200"/>
    </w:pPr>
    <w:rPr>
      <w:rFonts w:ascii="Calibri" w:hAnsi="Calibri"/>
      <w:sz w:val="24"/>
      <w:szCs w:val="22"/>
    </w:rPr>
  </w:style>
  <w:style w:type="paragraph" w:customStyle="1" w:styleId="345">
    <w:name w:val="规范正文"/>
    <w:basedOn w:val="1"/>
    <w:qFormat/>
    <w:uiPriority w:val="0"/>
    <w:pPr>
      <w:snapToGrid w:val="0"/>
      <w:spacing w:line="360" w:lineRule="auto"/>
      <w:ind w:firstLine="200" w:firstLineChars="200"/>
      <w:textAlignment w:val="baseline"/>
    </w:pPr>
    <w:rPr>
      <w:kern w:val="0"/>
      <w:sz w:val="24"/>
    </w:rPr>
  </w:style>
  <w:style w:type="paragraph" w:customStyle="1" w:styleId="346">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kern w:val="0"/>
      <w:sz w:val="20"/>
    </w:rPr>
  </w:style>
  <w:style w:type="paragraph" w:customStyle="1" w:styleId="347">
    <w:name w:val="五级条标题"/>
    <w:basedOn w:val="348"/>
    <w:next w:val="1"/>
    <w:qFormat/>
    <w:uiPriority w:val="0"/>
    <w:pPr>
      <w:numPr>
        <w:ilvl w:val="6"/>
      </w:numPr>
      <w:tabs>
        <w:tab w:val="left" w:pos="992"/>
      </w:tabs>
      <w:outlineLvl w:val="6"/>
    </w:pPr>
  </w:style>
  <w:style w:type="paragraph" w:customStyle="1" w:styleId="348">
    <w:name w:val="四级条标题"/>
    <w:basedOn w:val="349"/>
    <w:next w:val="1"/>
    <w:qFormat/>
    <w:uiPriority w:val="0"/>
    <w:pPr>
      <w:numPr>
        <w:ilvl w:val="5"/>
      </w:numPr>
      <w:tabs>
        <w:tab w:val="left" w:pos="992"/>
      </w:tabs>
      <w:outlineLvl w:val="5"/>
    </w:pPr>
  </w:style>
  <w:style w:type="paragraph" w:customStyle="1" w:styleId="349">
    <w:name w:val="三级条标题"/>
    <w:basedOn w:val="274"/>
    <w:next w:val="1"/>
    <w:qFormat/>
    <w:uiPriority w:val="0"/>
    <w:pPr>
      <w:numPr>
        <w:ilvl w:val="4"/>
      </w:numPr>
      <w:outlineLvl w:val="4"/>
    </w:pPr>
  </w:style>
  <w:style w:type="paragraph" w:customStyle="1" w:styleId="350">
    <w:name w:val="Char Char1 Char Char Char Char Char Char Char Char"/>
    <w:basedOn w:val="1"/>
    <w:qFormat/>
    <w:uiPriority w:val="0"/>
    <w:pPr>
      <w:adjustRightInd w:val="0"/>
      <w:spacing w:after="160" w:line="240" w:lineRule="exact"/>
    </w:pPr>
    <w:rPr>
      <w:rFonts w:ascii="Verdana" w:hAnsi="Verdana"/>
      <w:kern w:val="0"/>
      <w:sz w:val="20"/>
      <w:lang w:eastAsia="en-US"/>
    </w:rPr>
  </w:style>
  <w:style w:type="paragraph" w:customStyle="1" w:styleId="351">
    <w:name w:val="2 Char Char Char Char Char Char Char Char Char Char"/>
    <w:basedOn w:val="1"/>
    <w:qFormat/>
    <w:uiPriority w:val="0"/>
    <w:pPr>
      <w:pageBreakBefore/>
      <w:ind w:left="1259"/>
    </w:pPr>
    <w:rPr>
      <w:kern w:val="44"/>
      <w:sz w:val="24"/>
      <w:szCs w:val="24"/>
    </w:rPr>
  </w:style>
  <w:style w:type="paragraph" w:customStyle="1" w:styleId="352">
    <w:name w:val="Char Char Char Char Char Char1 Char"/>
    <w:basedOn w:val="1"/>
    <w:qFormat/>
    <w:uiPriority w:val="0"/>
    <w:rPr>
      <w:szCs w:val="24"/>
    </w:rPr>
  </w:style>
  <w:style w:type="paragraph" w:customStyle="1" w:styleId="353">
    <w:name w:val="_Style 23"/>
    <w:basedOn w:val="1"/>
    <w:next w:val="22"/>
    <w:qFormat/>
    <w:uiPriority w:val="0"/>
    <w:pPr>
      <w:spacing w:after="120"/>
    </w:pPr>
  </w:style>
  <w:style w:type="paragraph" w:customStyle="1" w:styleId="354">
    <w:name w:val="文字列表"/>
    <w:basedOn w:val="54"/>
    <w:qFormat/>
    <w:uiPriority w:val="0"/>
    <w:pPr>
      <w:numPr>
        <w:ilvl w:val="0"/>
        <w:numId w:val="5"/>
      </w:numPr>
      <w:tabs>
        <w:tab w:val="left" w:pos="360"/>
        <w:tab w:val="left" w:pos="540"/>
        <w:tab w:val="left" w:pos="840"/>
        <w:tab w:val="clear" w:pos="1320"/>
      </w:tabs>
      <w:spacing w:line="360" w:lineRule="auto"/>
      <w:ind w:left="540" w:hanging="540"/>
      <w:jc w:val="both"/>
    </w:pPr>
    <w:rPr>
      <w:rFonts w:ascii="仿宋_GB2312" w:hAnsi="宋体" w:eastAsia="仿宋_GB2312"/>
      <w:sz w:val="24"/>
    </w:rPr>
  </w:style>
  <w:style w:type="paragraph" w:customStyle="1" w:styleId="355">
    <w:name w:val="符号列表"/>
    <w:basedOn w:val="1"/>
    <w:qFormat/>
    <w:uiPriority w:val="0"/>
    <w:pPr>
      <w:widowControl/>
      <w:tabs>
        <w:tab w:val="left" w:pos="420"/>
      </w:tabs>
      <w:snapToGrid w:val="0"/>
      <w:spacing w:before="120" w:line="360" w:lineRule="auto"/>
      <w:ind w:left="420" w:hanging="420"/>
      <w:jc w:val="left"/>
    </w:pPr>
    <w:rPr>
      <w:rFonts w:ascii="楷体_GB2312" w:hAnsi="宋体" w:eastAsia="楷体_GB2312"/>
      <w:b/>
      <w:color w:val="000000"/>
      <w:sz w:val="24"/>
      <w:szCs w:val="24"/>
    </w:rPr>
  </w:style>
  <w:style w:type="paragraph" w:customStyle="1" w:styleId="356">
    <w:name w:val="Char Char Char Char Char Char1 Char Char Char Char Char Char Char Char Char Char Char Char Char Char Char Char Char Char Char Char Char Char Char Char"/>
    <w:basedOn w:val="1"/>
    <w:qFormat/>
    <w:uiPriority w:val="0"/>
    <w:rPr>
      <w:szCs w:val="24"/>
    </w:rPr>
  </w:style>
  <w:style w:type="paragraph" w:customStyle="1" w:styleId="357">
    <w:name w:val="Char Char"/>
    <w:basedOn w:val="1"/>
    <w:qFormat/>
    <w:uiPriority w:val="0"/>
    <w:rPr>
      <w:rFonts w:ascii="Tahoma" w:hAnsi="Tahoma"/>
      <w:sz w:val="24"/>
    </w:rPr>
  </w:style>
  <w:style w:type="paragraph" w:customStyle="1" w:styleId="358">
    <w:name w:val="样式 标题 3 + (中文) 黑体 小四 非加粗 段前: 7.8 磅 段后: 0 磅 行距: 固定值 20 磅"/>
    <w:basedOn w:val="6"/>
    <w:qFormat/>
    <w:uiPriority w:val="0"/>
    <w:pPr>
      <w:spacing w:before="0" w:after="0" w:line="400" w:lineRule="exact"/>
    </w:pPr>
    <w:rPr>
      <w:rFonts w:eastAsia="黑体" w:cs="宋体"/>
      <w:bCs w:val="0"/>
      <w:kern w:val="0"/>
      <w:sz w:val="24"/>
      <w:szCs w:val="20"/>
    </w:rPr>
  </w:style>
  <w:style w:type="paragraph" w:customStyle="1" w:styleId="359">
    <w:name w:val="样式 样式 样式 四号 左 行距: 1.5 倍行距 左  1 字符 首行缩进:  2 字符 + 首行缩进:  2 字符 + 首行..."/>
    <w:basedOn w:val="1"/>
    <w:qFormat/>
    <w:uiPriority w:val="0"/>
    <w:pPr>
      <w:spacing w:line="360" w:lineRule="auto"/>
      <w:ind w:firstLine="200" w:firstLineChars="200"/>
      <w:jc w:val="left"/>
    </w:pPr>
    <w:rPr>
      <w:rFonts w:cs="宋体"/>
      <w:sz w:val="28"/>
    </w:rPr>
  </w:style>
  <w:style w:type="paragraph" w:customStyle="1" w:styleId="360">
    <w:name w:val="标号"/>
    <w:basedOn w:val="1"/>
    <w:qFormat/>
    <w:uiPriority w:val="0"/>
    <w:pPr>
      <w:spacing w:line="360" w:lineRule="auto"/>
    </w:pPr>
    <w:rPr>
      <w:rFonts w:ascii="宋体" w:hAnsi="宋体"/>
      <w:sz w:val="24"/>
    </w:rPr>
  </w:style>
  <w:style w:type="paragraph" w:customStyle="1" w:styleId="361">
    <w:name w:val="Char Char Char"/>
    <w:basedOn w:val="1"/>
    <w:qFormat/>
    <w:uiPriority w:val="0"/>
    <w:rPr>
      <w:szCs w:val="24"/>
    </w:rPr>
  </w:style>
  <w:style w:type="paragraph" w:customStyle="1" w:styleId="362">
    <w:name w:val="列出段落1"/>
    <w:basedOn w:val="1"/>
    <w:qFormat/>
    <w:uiPriority w:val="0"/>
    <w:pPr>
      <w:ind w:firstLine="420" w:firstLineChars="200"/>
    </w:pPr>
    <w:rPr>
      <w:rFonts w:ascii="Calibri" w:hAnsi="Calibri" w:cs="Calibri"/>
      <w:szCs w:val="21"/>
    </w:rPr>
  </w:style>
  <w:style w:type="paragraph" w:customStyle="1" w:styleId="363">
    <w:name w:val="图片居中"/>
    <w:basedOn w:val="1"/>
    <w:qFormat/>
    <w:uiPriority w:val="0"/>
    <w:pPr>
      <w:jc w:val="center"/>
    </w:pPr>
    <w:rPr>
      <w:rFonts w:cs="宋体"/>
    </w:rPr>
  </w:style>
  <w:style w:type="paragraph" w:customStyle="1" w:styleId="364">
    <w:name w:val="表头"/>
    <w:qFormat/>
    <w:uiPriority w:val="0"/>
    <w:pPr>
      <w:jc w:val="center"/>
    </w:pPr>
    <w:rPr>
      <w:rFonts w:ascii="宋体" w:hAnsi="Times New Roman" w:eastAsia="宋体" w:cs="Times New Roman"/>
      <w:b/>
      <w:kern w:val="2"/>
      <w:lang w:val="en-US" w:eastAsia="zh-CN" w:bidi="ar-SA"/>
    </w:rPr>
  </w:style>
  <w:style w:type="paragraph" w:customStyle="1" w:styleId="365">
    <w:name w:val="Char Char2 Char Char"/>
    <w:basedOn w:val="18"/>
    <w:qFormat/>
    <w:uiPriority w:val="0"/>
    <w:rPr>
      <w:rFonts w:ascii="Tahoma" w:hAnsi="Tahoma"/>
      <w:sz w:val="24"/>
      <w:szCs w:val="24"/>
    </w:rPr>
  </w:style>
  <w:style w:type="paragraph" w:customStyle="1" w:styleId="366">
    <w:name w:val="TOC 标题1"/>
    <w:basedOn w:val="4"/>
    <w:next w:val="1"/>
    <w:qFormat/>
    <w:uiPriority w:val="0"/>
    <w:pPr>
      <w:spacing w:line="576" w:lineRule="auto"/>
      <w:outlineLvl w:val="9"/>
    </w:pPr>
    <w:rPr>
      <w:rFonts w:ascii="Calibri" w:hAnsi="Calibri"/>
    </w:rPr>
  </w:style>
  <w:style w:type="paragraph" w:customStyle="1" w:styleId="367">
    <w:name w:val="批注文字1"/>
    <w:basedOn w:val="1"/>
    <w:unhideWhenUsed/>
    <w:qFormat/>
    <w:uiPriority w:val="0"/>
    <w:rPr>
      <w:sz w:val="20"/>
    </w:rPr>
  </w:style>
  <w:style w:type="paragraph" w:customStyle="1" w:styleId="368">
    <w:name w:val="正文1"/>
    <w:qFormat/>
    <w:uiPriority w:val="0"/>
    <w:pPr>
      <w:widowControl w:val="0"/>
      <w:adjustRightInd w:val="0"/>
      <w:spacing w:line="360" w:lineRule="atLeast"/>
      <w:textAlignment w:val="baseline"/>
    </w:pPr>
    <w:rPr>
      <w:rFonts w:ascii="宋体" w:hAnsi="Times New Roman" w:eastAsia="宋体" w:cs="Times New Roman"/>
      <w:sz w:val="34"/>
      <w:lang w:val="en-US" w:eastAsia="zh-CN" w:bidi="ar-SA"/>
    </w:rPr>
  </w:style>
  <w:style w:type="paragraph" w:customStyle="1" w:styleId="369">
    <w:name w:val="flNote"/>
    <w:basedOn w:val="1"/>
    <w:qFormat/>
    <w:uiPriority w:val="0"/>
    <w:pPr>
      <w:adjustRightInd w:val="0"/>
      <w:spacing w:before="320" w:after="160" w:line="360" w:lineRule="atLeast"/>
      <w:jc w:val="center"/>
      <w:textAlignment w:val="baseline"/>
    </w:pPr>
    <w:rPr>
      <w:rFonts w:ascii="Arial" w:eastAsia="黑体"/>
      <w:kern w:val="0"/>
      <w:sz w:val="30"/>
    </w:rPr>
  </w:style>
  <w:style w:type="paragraph" w:customStyle="1" w:styleId="370">
    <w:name w:val="默认段落字体 Para Char Char Char Char Char Char Char Char Char1 Char Char Char Char Char Char Char"/>
    <w:basedOn w:val="18"/>
    <w:qFormat/>
    <w:uiPriority w:val="0"/>
    <w:rPr>
      <w:rFonts w:ascii="Tahoma" w:hAnsi="Tahoma"/>
      <w:sz w:val="24"/>
      <w:szCs w:val="24"/>
    </w:rPr>
  </w:style>
  <w:style w:type="paragraph" w:customStyle="1" w:styleId="371">
    <w:name w:val="Char Char1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372">
    <w:name w:val="Char Char1"/>
    <w:basedOn w:val="1"/>
    <w:qFormat/>
    <w:uiPriority w:val="0"/>
    <w:rPr>
      <w:szCs w:val="24"/>
    </w:rPr>
  </w:style>
  <w:style w:type="paragraph" w:customStyle="1" w:styleId="373">
    <w:name w:val="wenjianming"/>
    <w:basedOn w:val="1"/>
    <w:qFormat/>
    <w:uiPriority w:val="0"/>
    <w:pPr>
      <w:widowControl/>
      <w:spacing w:before="100" w:beforeAutospacing="1" w:after="100" w:afterAutospacing="1" w:line="300" w:lineRule="atLeast"/>
      <w:jc w:val="left"/>
    </w:pPr>
    <w:rPr>
      <w:rFonts w:eastAsia="Arial Unicode MS"/>
      <w:color w:val="000000"/>
      <w:kern w:val="0"/>
    </w:rPr>
  </w:style>
  <w:style w:type="paragraph" w:customStyle="1" w:styleId="374">
    <w:name w:val="Char Char Char1"/>
    <w:basedOn w:val="1"/>
    <w:qFormat/>
    <w:uiPriority w:val="0"/>
    <w:rPr>
      <w:rFonts w:ascii="Tahoma" w:hAnsi="Tahoma"/>
      <w:sz w:val="24"/>
    </w:rPr>
  </w:style>
  <w:style w:type="paragraph" w:customStyle="1" w:styleId="375">
    <w:name w:val="Char2"/>
    <w:basedOn w:val="1"/>
    <w:qFormat/>
    <w:uiPriority w:val="0"/>
    <w:rPr>
      <w:rFonts w:ascii="Tahoma" w:hAnsi="Tahoma"/>
      <w:sz w:val="24"/>
    </w:rPr>
  </w:style>
  <w:style w:type="paragraph" w:customStyle="1" w:styleId="376">
    <w:name w:val="列表编号1"/>
    <w:basedOn w:val="1"/>
    <w:qFormat/>
    <w:uiPriority w:val="0"/>
    <w:pPr>
      <w:tabs>
        <w:tab w:val="left" w:pos="780"/>
      </w:tabs>
      <w:spacing w:after="120" w:line="288" w:lineRule="auto"/>
      <w:ind w:left="780" w:hanging="420"/>
    </w:pPr>
    <w:rPr>
      <w:rFonts w:eastAsia="幼圆"/>
      <w:sz w:val="24"/>
    </w:rPr>
  </w:style>
  <w:style w:type="paragraph" w:customStyle="1" w:styleId="377">
    <w:name w:val="xl35"/>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kern w:val="0"/>
      <w:sz w:val="24"/>
    </w:rPr>
  </w:style>
  <w:style w:type="paragraph" w:customStyle="1" w:styleId="378">
    <w:name w:val="xl2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Arial Unicode MS" w:hAnsi="Arial Unicode MS"/>
      <w:b/>
      <w:kern w:val="0"/>
      <w:sz w:val="20"/>
    </w:rPr>
  </w:style>
  <w:style w:type="paragraph" w:customStyle="1" w:styleId="379">
    <w:name w:val="Char1 Char Char Char Char Char Char Char Char Char"/>
    <w:basedOn w:val="1"/>
    <w:qFormat/>
    <w:uiPriority w:val="0"/>
    <w:pPr>
      <w:jc w:val="left"/>
    </w:pPr>
    <w:rPr>
      <w:rFonts w:ascii="Tahoma" w:hAnsi="Tahoma"/>
      <w:sz w:val="24"/>
    </w:rPr>
  </w:style>
  <w:style w:type="paragraph" w:customStyle="1" w:styleId="380">
    <w:name w:val="一级目录"/>
    <w:next w:val="1"/>
    <w:qFormat/>
    <w:uiPriority w:val="0"/>
    <w:pPr>
      <w:spacing w:after="312" w:afterLines="100"/>
      <w:jc w:val="center"/>
      <w:outlineLvl w:val="0"/>
    </w:pPr>
    <w:rPr>
      <w:rFonts w:ascii="黑体" w:hAnsi="Calibri" w:eastAsia="黑体" w:cs="Times New Roman"/>
      <w:b/>
      <w:kern w:val="2"/>
      <w:sz w:val="44"/>
      <w:szCs w:val="44"/>
      <w:lang w:val="en-US" w:eastAsia="zh-CN" w:bidi="ar-SA"/>
    </w:rPr>
  </w:style>
  <w:style w:type="paragraph" w:customStyle="1" w:styleId="381">
    <w:name w:val="wen_2"/>
    <w:basedOn w:val="1"/>
    <w:qFormat/>
    <w:uiPriority w:val="0"/>
    <w:pPr>
      <w:widowControl/>
      <w:spacing w:before="100" w:beforeAutospacing="1" w:after="100" w:afterAutospacing="1" w:line="324" w:lineRule="auto"/>
      <w:jc w:val="left"/>
    </w:pPr>
    <w:rPr>
      <w:color w:val="000000"/>
      <w:kern w:val="0"/>
      <w:sz w:val="18"/>
      <w:szCs w:val="18"/>
    </w:rPr>
  </w:style>
  <w:style w:type="paragraph" w:customStyle="1" w:styleId="382">
    <w:name w:val="Table Text"/>
    <w:basedOn w:val="1"/>
    <w:qFormat/>
    <w:uiPriority w:val="0"/>
    <w:rPr>
      <w:sz w:val="18"/>
      <w:szCs w:val="24"/>
    </w:rPr>
  </w:style>
  <w:style w:type="paragraph" w:customStyle="1" w:styleId="383">
    <w:name w:val="公文正文"/>
    <w:basedOn w:val="1"/>
    <w:qFormat/>
    <w:uiPriority w:val="0"/>
    <w:pPr>
      <w:spacing w:line="360" w:lineRule="auto"/>
      <w:jc w:val="center"/>
    </w:pPr>
    <w:rPr>
      <w:rFonts w:eastAsia="华文仿宋"/>
      <w:b/>
      <w:sz w:val="32"/>
    </w:rPr>
  </w:style>
  <w:style w:type="paragraph" w:customStyle="1" w:styleId="384">
    <w:name w:val="Char Char Char Char1"/>
    <w:basedOn w:val="18"/>
    <w:qFormat/>
    <w:uiPriority w:val="0"/>
    <w:rPr>
      <w:sz w:val="28"/>
    </w:rPr>
  </w:style>
  <w:style w:type="paragraph" w:customStyle="1" w:styleId="385">
    <w:name w:val="样式 首行缩进:  0.85 厘米"/>
    <w:basedOn w:val="1"/>
    <w:qFormat/>
    <w:uiPriority w:val="0"/>
    <w:pPr>
      <w:spacing w:line="360" w:lineRule="auto"/>
      <w:ind w:firstLine="480" w:firstLineChars="200"/>
    </w:pPr>
    <w:rPr>
      <w:szCs w:val="24"/>
    </w:rPr>
  </w:style>
  <w:style w:type="paragraph" w:customStyle="1" w:styleId="386">
    <w:name w:val="正文，首行缩进"/>
    <w:basedOn w:val="22"/>
    <w:next w:val="8"/>
    <w:qFormat/>
    <w:uiPriority w:val="0"/>
    <w:pPr>
      <w:widowControl/>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line="360" w:lineRule="auto"/>
      <w:ind w:firstLine="482"/>
    </w:pPr>
    <w:rPr>
      <w:rFonts w:ascii="楷体" w:hAnsi="Arial" w:eastAsia="楷体"/>
      <w:kern w:val="0"/>
      <w:sz w:val="24"/>
      <w:szCs w:val="20"/>
      <w:lang w:val="de-DE"/>
    </w:rPr>
  </w:style>
  <w:style w:type="paragraph" w:customStyle="1" w:styleId="387">
    <w:name w:val="表格正文"/>
    <w:basedOn w:val="1"/>
    <w:qFormat/>
    <w:uiPriority w:val="0"/>
    <w:pPr>
      <w:spacing w:before="156" w:beforeLines="50"/>
    </w:pPr>
    <w:rPr>
      <w:rFonts w:cs="宋体"/>
      <w:kern w:val="0"/>
    </w:rPr>
  </w:style>
  <w:style w:type="paragraph" w:customStyle="1" w:styleId="388">
    <w:name w:val="msonormal3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9">
    <w:name w:val="！正文文字缩进--WRY"/>
    <w:basedOn w:val="1"/>
    <w:qFormat/>
    <w:uiPriority w:val="0"/>
    <w:pPr>
      <w:spacing w:before="240" w:after="64" w:line="360" w:lineRule="auto"/>
      <w:ind w:firstLine="480" w:firstLineChars="200"/>
    </w:pPr>
    <w:rPr>
      <w:sz w:val="24"/>
    </w:rPr>
  </w:style>
  <w:style w:type="paragraph" w:customStyle="1" w:styleId="390">
    <w:name w:val="_Style 165"/>
    <w:basedOn w:val="1"/>
    <w:qFormat/>
    <w:uiPriority w:val="0"/>
    <w:pPr>
      <w:spacing w:before="156" w:beforeLines="50" w:after="156" w:afterLines="50"/>
      <w:ind w:left="200" w:leftChars="200"/>
    </w:pPr>
    <w:rPr>
      <w:rFonts w:eastAsia="Times New Roman"/>
      <w:kern w:val="0"/>
      <w:sz w:val="20"/>
      <w:szCs w:val="24"/>
    </w:rPr>
  </w:style>
  <w:style w:type="paragraph" w:customStyle="1" w:styleId="391">
    <w:name w:val="正文2"/>
    <w:basedOn w:val="1"/>
    <w:qFormat/>
    <w:uiPriority w:val="0"/>
    <w:pPr>
      <w:spacing w:line="300" w:lineRule="auto"/>
      <w:ind w:left="500" w:leftChars="500"/>
    </w:pPr>
  </w:style>
  <w:style w:type="paragraph" w:customStyle="1" w:styleId="392">
    <w:name w:val="样式 首行缩进:  2 字符"/>
    <w:basedOn w:val="1"/>
    <w:qFormat/>
    <w:uiPriority w:val="0"/>
    <w:pPr>
      <w:adjustRightInd w:val="0"/>
      <w:snapToGrid w:val="0"/>
      <w:spacing w:line="360" w:lineRule="auto"/>
      <w:ind w:left="538" w:leftChars="-71" w:right="480" w:hanging="737" w:hangingChars="307"/>
      <w:jc w:val="left"/>
    </w:pPr>
    <w:rPr>
      <w:rFonts w:ascii="仿宋_GB2312" w:hAnsi="宋体" w:eastAsia="仿宋_GB2312" w:cs="宋体"/>
      <w:snapToGrid w:val="0"/>
      <w:color w:val="FF0000"/>
      <w:kern w:val="0"/>
      <w:sz w:val="24"/>
      <w:szCs w:val="24"/>
    </w:rPr>
  </w:style>
  <w:style w:type="paragraph" w:customStyle="1" w:styleId="393">
    <w:name w:val="xl3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kern w:val="0"/>
      <w:sz w:val="24"/>
    </w:rPr>
  </w:style>
  <w:style w:type="paragraph" w:customStyle="1" w:styleId="394">
    <w:name w:val="text"/>
    <w:basedOn w:val="1"/>
    <w:qFormat/>
    <w:uiPriority w:val="0"/>
    <w:pPr>
      <w:widowControl/>
      <w:spacing w:before="100" w:beforeAutospacing="1" w:after="100" w:afterAutospacing="1" w:line="300" w:lineRule="auto"/>
      <w:jc w:val="left"/>
    </w:pPr>
    <w:rPr>
      <w:rFonts w:ascii="仿宋_GB2312" w:hAnsi="宋体" w:eastAsia="仿宋_GB2312" w:cs="宋体"/>
      <w:kern w:val="0"/>
      <w:sz w:val="32"/>
      <w:szCs w:val="32"/>
    </w:rPr>
  </w:style>
  <w:style w:type="paragraph" w:customStyle="1" w:styleId="395">
    <w:name w:val="2册标题3"/>
    <w:basedOn w:val="1"/>
    <w:next w:val="1"/>
    <w:qFormat/>
    <w:uiPriority w:val="0"/>
    <w:pPr>
      <w:spacing w:before="156" w:beforeLines="50" w:after="156" w:afterLines="50" w:line="300" w:lineRule="auto"/>
      <w:ind w:left="210" w:leftChars="100"/>
      <w:jc w:val="center"/>
      <w:outlineLvl w:val="2"/>
    </w:pPr>
    <w:rPr>
      <w:rFonts w:ascii="宋体" w:hAnsi="宋体"/>
      <w:b/>
      <w:sz w:val="30"/>
    </w:rPr>
  </w:style>
  <w:style w:type="paragraph" w:customStyle="1" w:styleId="396">
    <w:name w:val="font6"/>
    <w:basedOn w:val="1"/>
    <w:qFormat/>
    <w:uiPriority w:val="0"/>
    <w:pPr>
      <w:widowControl/>
      <w:spacing w:before="100" w:beforeAutospacing="1" w:after="100" w:afterAutospacing="1"/>
      <w:jc w:val="left"/>
    </w:pPr>
    <w:rPr>
      <w:rFonts w:hint="eastAsia" w:ascii="宋体" w:hAnsi="宋体"/>
      <w:kern w:val="0"/>
      <w:sz w:val="20"/>
    </w:rPr>
  </w:style>
  <w:style w:type="paragraph" w:customStyle="1" w:styleId="397">
    <w:name w:val="无编号标题4"/>
    <w:next w:val="1"/>
    <w:qFormat/>
    <w:uiPriority w:val="0"/>
    <w:pPr>
      <w:jc w:val="center"/>
    </w:pPr>
    <w:rPr>
      <w:rFonts w:ascii="Arial" w:hAnsi="Arial" w:eastAsia="黑体" w:cs="Times New Roman"/>
      <w:kern w:val="2"/>
      <w:sz w:val="28"/>
      <w:szCs w:val="28"/>
      <w:lang w:val="en-US" w:eastAsia="zh-CN" w:bidi="ar-SA"/>
    </w:rPr>
  </w:style>
  <w:style w:type="paragraph" w:customStyle="1" w:styleId="398">
    <w:name w:val="样式3-A商务部分"/>
    <w:basedOn w:val="6"/>
    <w:qFormat/>
    <w:uiPriority w:val="0"/>
    <w:pPr>
      <w:tabs>
        <w:tab w:val="left" w:pos="1260"/>
      </w:tabs>
      <w:spacing w:line="360" w:lineRule="exact"/>
      <w:ind w:left="1260" w:hanging="420"/>
    </w:pPr>
    <w:rPr>
      <w:sz w:val="28"/>
    </w:rPr>
  </w:style>
  <w:style w:type="paragraph" w:customStyle="1" w:styleId="399">
    <w:name w:val="Char1"/>
    <w:basedOn w:val="1"/>
    <w:qFormat/>
    <w:uiPriority w:val="0"/>
    <w:pPr>
      <w:widowControl/>
      <w:spacing w:after="160" w:line="240" w:lineRule="exact"/>
      <w:jc w:val="left"/>
    </w:pPr>
    <w:rPr>
      <w:rFonts w:ascii="Verdana" w:hAnsi="Verdana"/>
      <w:kern w:val="0"/>
      <w:sz w:val="20"/>
      <w:lang w:eastAsia="en-US"/>
    </w:rPr>
  </w:style>
  <w:style w:type="paragraph" w:customStyle="1" w:styleId="400">
    <w:name w:val="正文-带编号1)"/>
    <w:basedOn w:val="1"/>
    <w:qFormat/>
    <w:uiPriority w:val="0"/>
    <w:pPr>
      <w:numPr>
        <w:ilvl w:val="0"/>
        <w:numId w:val="4"/>
      </w:numPr>
      <w:spacing w:line="400" w:lineRule="exact"/>
    </w:pPr>
    <w:rPr>
      <w:rFonts w:ascii="Arial" w:hAnsi="Arial"/>
      <w:szCs w:val="24"/>
    </w:rPr>
  </w:style>
  <w:style w:type="paragraph" w:customStyle="1" w:styleId="401">
    <w:name w:val="Char Char Char Char Char Char1 Char Char Char11"/>
    <w:basedOn w:val="1"/>
    <w:qFormat/>
    <w:uiPriority w:val="0"/>
    <w:rPr>
      <w:szCs w:val="24"/>
    </w:rPr>
  </w:style>
  <w:style w:type="paragraph" w:customStyle="1" w:styleId="402">
    <w:name w:val="p0"/>
    <w:basedOn w:val="1"/>
    <w:qFormat/>
    <w:uiPriority w:val="0"/>
    <w:pPr>
      <w:widowControl/>
    </w:pPr>
    <w:rPr>
      <w:kern w:val="0"/>
      <w:szCs w:val="21"/>
    </w:rPr>
  </w:style>
  <w:style w:type="paragraph" w:customStyle="1" w:styleId="403">
    <w:name w:val="Char Char Char Char Char Char Char Char Char Char Char Char Char Char Char Char1"/>
    <w:basedOn w:val="1"/>
    <w:qFormat/>
    <w:uiPriority w:val="0"/>
    <w:pPr>
      <w:widowControl/>
      <w:spacing w:after="160" w:line="240" w:lineRule="exact"/>
      <w:jc w:val="left"/>
    </w:pPr>
    <w:rPr>
      <w:szCs w:val="24"/>
    </w:rPr>
  </w:style>
  <w:style w:type="paragraph" w:customStyle="1" w:styleId="404">
    <w:name w:val="标题2级"/>
    <w:qFormat/>
    <w:uiPriority w:val="0"/>
    <w:pPr>
      <w:tabs>
        <w:tab w:val="left" w:pos="0"/>
      </w:tabs>
      <w:spacing w:line="240" w:lineRule="atLeast"/>
      <w:outlineLvl w:val="1"/>
    </w:pPr>
    <w:rPr>
      <w:rFonts w:ascii="宋体" w:hAnsi="宋体" w:eastAsia="宋体" w:cs="Times New Roman"/>
      <w:b/>
      <w:bCs/>
      <w:sz w:val="28"/>
      <w:szCs w:val="28"/>
      <w:lang w:val="en-US" w:eastAsia="zh-CN" w:bidi="ar-SA"/>
    </w:rPr>
  </w:style>
  <w:style w:type="paragraph" w:customStyle="1" w:styleId="405">
    <w:name w:val="Char Char Char Char Char Char"/>
    <w:basedOn w:val="1"/>
    <w:qFormat/>
    <w:uiPriority w:val="0"/>
    <w:rPr>
      <w:rFonts w:ascii="Tahoma" w:hAnsi="Tahoma"/>
      <w:sz w:val="24"/>
    </w:rPr>
  </w:style>
  <w:style w:type="paragraph" w:customStyle="1" w:styleId="406">
    <w:name w:val="±íÏî"/>
    <w:basedOn w:val="1"/>
    <w:qFormat/>
    <w:uiPriority w:val="0"/>
    <w:pPr>
      <w:widowControl/>
      <w:overflowPunct w:val="0"/>
      <w:autoSpaceDE w:val="0"/>
      <w:autoSpaceDN w:val="0"/>
      <w:adjustRightInd w:val="0"/>
      <w:spacing w:line="300" w:lineRule="auto"/>
      <w:jc w:val="center"/>
      <w:textAlignment w:val="baseline"/>
    </w:pPr>
    <w:rPr>
      <w:kern w:val="0"/>
      <w:sz w:val="18"/>
    </w:rPr>
  </w:style>
  <w:style w:type="character" w:customStyle="1" w:styleId="407">
    <w:name w:val="明显引用 Char"/>
    <w:basedOn w:val="58"/>
    <w:qFormat/>
    <w:uiPriority w:val="30"/>
    <w:rPr>
      <w:rFonts w:ascii="Times New Roman" w:hAnsi="Times New Roman" w:eastAsia="宋体" w:cs="Times New Roman"/>
      <w:i/>
      <w:iCs/>
      <w:color w:val="5B9BD5" w:themeColor="accent1"/>
      <w:szCs w:val="20"/>
      <w14:textFill>
        <w14:solidFill>
          <w14:schemeClr w14:val="accent1"/>
        </w14:solidFill>
      </w14:textFill>
    </w:rPr>
  </w:style>
  <w:style w:type="paragraph" w:customStyle="1" w:styleId="408">
    <w:name w:val="一般正文"/>
    <w:basedOn w:val="1"/>
    <w:qFormat/>
    <w:uiPriority w:val="0"/>
    <w:pPr>
      <w:spacing w:line="360" w:lineRule="auto"/>
      <w:ind w:firstLine="480" w:firstLineChars="200"/>
    </w:pPr>
    <w:rPr>
      <w:rFonts w:cs="宋体"/>
      <w:sz w:val="24"/>
    </w:rPr>
  </w:style>
  <w:style w:type="paragraph" w:customStyle="1" w:styleId="409">
    <w:name w:val="排版"/>
    <w:basedOn w:val="1"/>
    <w:next w:val="22"/>
    <w:qFormat/>
    <w:uiPriority w:val="0"/>
    <w:pPr>
      <w:spacing w:line="600" w:lineRule="exact"/>
    </w:pPr>
    <w:rPr>
      <w:rFonts w:eastAsia="华文仿宋"/>
      <w:spacing w:val="6"/>
      <w:sz w:val="32"/>
      <w:szCs w:val="24"/>
    </w:rPr>
  </w:style>
  <w:style w:type="paragraph" w:customStyle="1" w:styleId="410">
    <w:name w:val="空半行"/>
    <w:basedOn w:val="1"/>
    <w:qFormat/>
    <w:uiPriority w:val="0"/>
    <w:pPr>
      <w:adjustRightInd w:val="0"/>
      <w:spacing w:line="120" w:lineRule="exact"/>
      <w:textAlignment w:val="baseline"/>
    </w:pPr>
    <w:rPr>
      <w:rFonts w:eastAsia="仿宋_GB2312"/>
      <w:color w:val="FFFFFF"/>
      <w:kern w:val="0"/>
      <w:sz w:val="30"/>
    </w:rPr>
  </w:style>
  <w:style w:type="paragraph" w:customStyle="1" w:styleId="411">
    <w:name w:val="样式 样式 正文文本缩进 + 仿宋_GB2312 小四 首行缩进:  0 厘米 行距: 1.5 倍行距 + (中文) 仿宋_GB... Char Char"/>
    <w:basedOn w:val="1"/>
    <w:qFormat/>
    <w:uiPriority w:val="0"/>
    <w:pPr>
      <w:spacing w:line="360" w:lineRule="auto"/>
      <w:ind w:firstLine="480"/>
    </w:pPr>
    <w:rPr>
      <w:rFonts w:ascii="仿宋_GB2312" w:eastAsia="新宋体"/>
      <w:sz w:val="24"/>
    </w:rPr>
  </w:style>
  <w:style w:type="paragraph" w:customStyle="1" w:styleId="412">
    <w:name w:val="±íÉí"/>
    <w:basedOn w:val="1"/>
    <w:qFormat/>
    <w:uiPriority w:val="0"/>
    <w:pPr>
      <w:widowControl/>
      <w:overflowPunct w:val="0"/>
      <w:autoSpaceDE w:val="0"/>
      <w:autoSpaceDN w:val="0"/>
      <w:adjustRightInd w:val="0"/>
      <w:spacing w:line="300" w:lineRule="auto"/>
      <w:jc w:val="left"/>
      <w:textAlignment w:val="baseline"/>
    </w:pPr>
    <w:rPr>
      <w:kern w:val="0"/>
      <w:sz w:val="18"/>
    </w:rPr>
  </w:style>
  <w:style w:type="paragraph" w:customStyle="1" w:styleId="413">
    <w:name w:val="flType"/>
    <w:basedOn w:val="1"/>
    <w:qFormat/>
    <w:uiPriority w:val="0"/>
    <w:pPr>
      <w:adjustRightInd w:val="0"/>
      <w:spacing w:after="284" w:line="113" w:lineRule="atLeast"/>
      <w:jc w:val="center"/>
    </w:pPr>
    <w:rPr>
      <w:kern w:val="0"/>
      <w:sz w:val="24"/>
    </w:rPr>
  </w:style>
  <w:style w:type="paragraph" w:customStyle="1" w:styleId="414">
    <w:name w:val="无编号标题1"/>
    <w:next w:val="1"/>
    <w:qFormat/>
    <w:uiPriority w:val="0"/>
    <w:pPr>
      <w:spacing w:before="624" w:beforeLines="200" w:after="312" w:afterLines="100"/>
      <w:jc w:val="center"/>
    </w:pPr>
    <w:rPr>
      <w:rFonts w:ascii="Times New Roman" w:hAnsi="Times New Roman" w:eastAsia="黑体" w:cs="Times New Roman"/>
      <w:b/>
      <w:kern w:val="2"/>
      <w:sz w:val="44"/>
      <w:szCs w:val="24"/>
      <w:lang w:val="en-US" w:eastAsia="zh-CN" w:bidi="ar-SA"/>
    </w:rPr>
  </w:style>
  <w:style w:type="paragraph" w:customStyle="1" w:styleId="415">
    <w:name w:val="图文字"/>
    <w:qFormat/>
    <w:uiPriority w:val="0"/>
    <w:pPr>
      <w:jc w:val="center"/>
    </w:pPr>
    <w:rPr>
      <w:rFonts w:ascii="Times New Roman" w:hAnsi="Times New Roman" w:eastAsia="宋体" w:cs="Times New Roman"/>
      <w:kern w:val="2"/>
      <w:sz w:val="21"/>
      <w:szCs w:val="24"/>
      <w:lang w:val="en-US" w:eastAsia="zh-CN" w:bidi="ar-SA"/>
    </w:rPr>
  </w:style>
  <w:style w:type="paragraph" w:customStyle="1" w:styleId="416">
    <w:name w:val="样式1"/>
    <w:basedOn w:val="1"/>
    <w:qFormat/>
    <w:uiPriority w:val="0"/>
    <w:pPr>
      <w:tabs>
        <w:tab w:val="left" w:pos="1620"/>
      </w:tabs>
      <w:adjustRightInd w:val="0"/>
      <w:ind w:left="1620" w:hanging="1620"/>
      <w:textAlignment w:val="baseline"/>
    </w:pPr>
    <w:rPr>
      <w:rFonts w:ascii="宋体" w:hAnsi="宋体"/>
      <w:kern w:val="0"/>
    </w:rPr>
  </w:style>
  <w:style w:type="paragraph" w:customStyle="1" w:styleId="417">
    <w:name w:val="纯文本1"/>
    <w:basedOn w:val="1"/>
    <w:qFormat/>
    <w:uiPriority w:val="0"/>
    <w:pPr>
      <w:widowControl/>
      <w:spacing w:before="120" w:after="120"/>
      <w:jc w:val="left"/>
    </w:pPr>
    <w:rPr>
      <w:rFonts w:ascii="Courier New" w:hAnsi="Courier New"/>
      <w:kern w:val="0"/>
      <w:sz w:val="22"/>
      <w:lang w:val="en-GB" w:eastAsia="en-US"/>
    </w:rPr>
  </w:style>
  <w:style w:type="paragraph" w:customStyle="1" w:styleId="418">
    <w:name w:val="样式 宋体 三号 加粗 居中 行距: 最小值 12 磅"/>
    <w:basedOn w:val="1"/>
    <w:qFormat/>
    <w:uiPriority w:val="0"/>
    <w:pPr>
      <w:spacing w:line="240" w:lineRule="atLeast"/>
      <w:jc w:val="center"/>
    </w:pPr>
    <w:rPr>
      <w:rFonts w:ascii="宋体" w:hAnsi="宋体"/>
      <w:b/>
    </w:rPr>
  </w:style>
  <w:style w:type="paragraph" w:customStyle="1" w:styleId="419">
    <w:name w:val="缺省文本"/>
    <w:basedOn w:val="1"/>
    <w:qFormat/>
    <w:uiPriority w:val="0"/>
    <w:pPr>
      <w:widowControl/>
      <w:tabs>
        <w:tab w:val="left" w:pos="1620"/>
      </w:tabs>
      <w:overflowPunct w:val="0"/>
      <w:autoSpaceDE w:val="0"/>
      <w:autoSpaceDN w:val="0"/>
      <w:adjustRightInd w:val="0"/>
      <w:snapToGrid w:val="0"/>
      <w:spacing w:line="360" w:lineRule="auto"/>
      <w:ind w:left="1620" w:hanging="1620"/>
      <w:textAlignment w:val="baseline"/>
    </w:pPr>
    <w:rPr>
      <w:kern w:val="0"/>
      <w:sz w:val="24"/>
    </w:rPr>
  </w:style>
  <w:style w:type="paragraph" w:customStyle="1" w:styleId="420">
    <w:name w:val="标题  1"/>
    <w:basedOn w:val="1"/>
    <w:qFormat/>
    <w:uiPriority w:val="0"/>
    <w:pPr>
      <w:tabs>
        <w:tab w:val="left" w:pos="840"/>
      </w:tabs>
      <w:spacing w:line="360" w:lineRule="auto"/>
      <w:ind w:left="840" w:hanging="420"/>
    </w:pPr>
    <w:rPr>
      <w:sz w:val="24"/>
      <w:szCs w:val="24"/>
    </w:rPr>
  </w:style>
  <w:style w:type="paragraph" w:customStyle="1" w:styleId="421">
    <w:name w:val="font7"/>
    <w:basedOn w:val="1"/>
    <w:qFormat/>
    <w:uiPriority w:val="0"/>
    <w:pPr>
      <w:widowControl/>
      <w:spacing w:before="100" w:beforeAutospacing="1" w:after="100" w:afterAutospacing="1"/>
      <w:jc w:val="left"/>
    </w:pPr>
    <w:rPr>
      <w:kern w:val="0"/>
      <w:sz w:val="20"/>
    </w:rPr>
  </w:style>
  <w:style w:type="paragraph" w:customStyle="1" w:styleId="422">
    <w:name w:val="Char Char Char Char Char Char Char Char Char Char Char Char Char Char Char Char Char Char Char Char Char Char Char Char Char Char Char Char Char Char Char Char Char1"/>
    <w:basedOn w:val="1"/>
    <w:qFormat/>
    <w:uiPriority w:val="0"/>
    <w:pPr>
      <w:widowControl/>
      <w:spacing w:after="160" w:line="240" w:lineRule="exact"/>
      <w:jc w:val="left"/>
    </w:pPr>
    <w:rPr>
      <w:szCs w:val="21"/>
    </w:rPr>
  </w:style>
  <w:style w:type="paragraph" w:customStyle="1" w:styleId="423">
    <w:name w:val="表文字"/>
    <w:qFormat/>
    <w:uiPriority w:val="0"/>
    <w:rPr>
      <w:rFonts w:ascii="宋体" w:hAnsi="Times New Roman" w:eastAsia="宋体" w:cs="Times New Roman"/>
      <w:kern w:val="2"/>
      <w:lang w:val="en-US" w:eastAsia="zh-CN" w:bidi="ar-SA"/>
    </w:rPr>
  </w:style>
  <w:style w:type="paragraph" w:customStyle="1" w:styleId="424">
    <w:name w:val="正文 3"/>
    <w:basedOn w:val="330"/>
    <w:next w:val="330"/>
    <w:qFormat/>
    <w:uiPriority w:val="0"/>
    <w:pPr>
      <w:spacing w:before="120"/>
    </w:pPr>
    <w:rPr>
      <w:rFonts w:ascii="Garamond" w:hAnsi="Garamond"/>
      <w:color w:val="auto"/>
    </w:rPr>
  </w:style>
  <w:style w:type="paragraph" w:customStyle="1" w:styleId="425">
    <w:name w:val="表格文字加粗"/>
    <w:qFormat/>
    <w:uiPriority w:val="0"/>
    <w:pPr>
      <w:widowControl w:val="0"/>
      <w:spacing w:line="300" w:lineRule="auto"/>
      <w:jc w:val="center"/>
    </w:pPr>
    <w:rPr>
      <w:rFonts w:ascii="Times New Roman" w:hAnsi="Times New Roman" w:eastAsia="宋体" w:cs="Times New Roman"/>
      <w:b/>
      <w:kern w:val="2"/>
      <w:sz w:val="21"/>
      <w:szCs w:val="24"/>
      <w:lang w:val="en-US" w:eastAsia="zh-CN" w:bidi="ar-SA"/>
    </w:rPr>
  </w:style>
  <w:style w:type="paragraph" w:customStyle="1" w:styleId="426">
    <w:name w:val="Char11"/>
    <w:basedOn w:val="1"/>
    <w:qFormat/>
    <w:uiPriority w:val="0"/>
    <w:pPr>
      <w:tabs>
        <w:tab w:val="left" w:pos="840"/>
      </w:tabs>
      <w:ind w:left="840" w:hanging="420"/>
    </w:pPr>
    <w:rPr>
      <w:sz w:val="24"/>
      <w:szCs w:val="24"/>
    </w:rPr>
  </w:style>
  <w:style w:type="paragraph" w:customStyle="1" w:styleId="427">
    <w:name w:val="样式4"/>
    <w:basedOn w:val="6"/>
    <w:qFormat/>
    <w:uiPriority w:val="0"/>
    <w:pPr>
      <w:spacing w:before="120" w:after="0" w:line="360" w:lineRule="auto"/>
    </w:pPr>
    <w:rPr>
      <w:rFonts w:ascii="黑体" w:hAnsi="黑体" w:eastAsia="黑体"/>
      <w:b w:val="0"/>
      <w:sz w:val="30"/>
      <w:szCs w:val="30"/>
    </w:rPr>
  </w:style>
  <w:style w:type="paragraph" w:customStyle="1" w:styleId="428">
    <w:name w:val="样式 首行缩进:  0 字符"/>
    <w:basedOn w:val="1"/>
    <w:qFormat/>
    <w:uiPriority w:val="0"/>
    <w:rPr>
      <w:rFonts w:cs="宋体"/>
    </w:rPr>
  </w:style>
  <w:style w:type="paragraph" w:customStyle="1" w:styleId="429">
    <w:name w:val="Char Char Char Char Char Char Char Char Char Char Char Char Char Char Char1 Char"/>
    <w:basedOn w:val="1"/>
    <w:qFormat/>
    <w:uiPriority w:val="0"/>
    <w:pPr>
      <w:widowControl/>
      <w:spacing w:after="160" w:line="240" w:lineRule="exact"/>
      <w:jc w:val="left"/>
    </w:pPr>
    <w:rPr>
      <w:rFonts w:ascii="Verdana" w:hAnsi="Verdana"/>
      <w:kern w:val="0"/>
      <w:sz w:val="20"/>
      <w:lang w:eastAsia="en-US"/>
    </w:rPr>
  </w:style>
  <w:style w:type="paragraph" w:customStyle="1" w:styleId="430">
    <w:name w:val="xl3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Arial Unicode MS" w:hAnsi="Arial Unicode MS"/>
      <w:kern w:val="0"/>
      <w:sz w:val="20"/>
    </w:rPr>
  </w:style>
  <w:style w:type="paragraph" w:customStyle="1" w:styleId="431">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432">
    <w:name w:val="0-ST-篇"/>
    <w:basedOn w:val="1"/>
    <w:next w:val="1"/>
    <w:qFormat/>
    <w:uiPriority w:val="0"/>
    <w:pPr>
      <w:jc w:val="center"/>
    </w:pPr>
    <w:rPr>
      <w:rFonts w:ascii="Calibri" w:hAnsi="Calibri" w:eastAsia="黑体"/>
      <w:sz w:val="32"/>
      <w:szCs w:val="21"/>
    </w:rPr>
  </w:style>
  <w:style w:type="paragraph" w:customStyle="1" w:styleId="433">
    <w:name w:val="Char Char Char Char Char Char1 Char Char Char Char Char Char Char1"/>
    <w:basedOn w:val="1"/>
    <w:qFormat/>
    <w:uiPriority w:val="0"/>
    <w:rPr>
      <w:szCs w:val="24"/>
    </w:rPr>
  </w:style>
  <w:style w:type="paragraph" w:customStyle="1" w:styleId="434">
    <w:name w:val="2册标题4"/>
    <w:basedOn w:val="1"/>
    <w:next w:val="1"/>
    <w:qFormat/>
    <w:uiPriority w:val="0"/>
    <w:pPr>
      <w:spacing w:before="156" w:beforeLines="50" w:after="156" w:afterLines="50" w:line="300" w:lineRule="auto"/>
      <w:ind w:left="420" w:leftChars="200"/>
      <w:outlineLvl w:val="3"/>
    </w:pPr>
    <w:rPr>
      <w:rFonts w:ascii="Arial" w:hAnsi="Arial" w:eastAsia="幼圆"/>
      <w:b/>
      <w:sz w:val="24"/>
    </w:rPr>
  </w:style>
  <w:style w:type="paragraph" w:customStyle="1" w:styleId="435">
    <w:name w:val="b2"/>
    <w:basedOn w:val="1"/>
    <w:qFormat/>
    <w:uiPriority w:val="0"/>
    <w:pPr>
      <w:tabs>
        <w:tab w:val="left" w:pos="720"/>
      </w:tabs>
      <w:spacing w:line="360" w:lineRule="auto"/>
      <w:ind w:left="420" w:hanging="420"/>
    </w:pPr>
    <w:rPr>
      <w:rFonts w:ascii="宋体" w:hAnsi="宋体"/>
      <w:sz w:val="24"/>
    </w:rPr>
  </w:style>
  <w:style w:type="paragraph" w:customStyle="1" w:styleId="436">
    <w:name w:val="标题2"/>
    <w:basedOn w:val="4"/>
    <w:qFormat/>
    <w:uiPriority w:val="0"/>
    <w:pPr>
      <w:spacing w:before="0" w:after="0" w:line="576" w:lineRule="auto"/>
    </w:pPr>
    <w:rPr>
      <w:rFonts w:eastAsia="仿宋_GB2312"/>
      <w:color w:val="000000"/>
      <w:sz w:val="32"/>
    </w:rPr>
  </w:style>
  <w:style w:type="paragraph" w:customStyle="1" w:styleId="437">
    <w:name w:val="xl30"/>
    <w:basedOn w:val="1"/>
    <w:qFormat/>
    <w:uiPriority w:val="0"/>
    <w:pPr>
      <w:widowControl/>
      <w:pBdr>
        <w:top w:val="single" w:color="auto" w:sz="4" w:space="0"/>
        <w:bottom w:val="single" w:color="auto" w:sz="4" w:space="0"/>
      </w:pBdr>
      <w:spacing w:before="100" w:beforeAutospacing="1" w:after="100" w:afterAutospacing="1"/>
      <w:jc w:val="center"/>
    </w:pPr>
    <w:rPr>
      <w:rFonts w:ascii="Arial Unicode MS" w:hAnsi="Arial Unicode MS"/>
      <w:kern w:val="0"/>
      <w:sz w:val="20"/>
    </w:rPr>
  </w:style>
  <w:style w:type="paragraph" w:customStyle="1" w:styleId="438">
    <w:name w:val="1"/>
    <w:basedOn w:val="1"/>
    <w:next w:val="1"/>
    <w:qFormat/>
    <w:uiPriority w:val="0"/>
    <w:rPr>
      <w:szCs w:val="24"/>
    </w:rPr>
  </w:style>
  <w:style w:type="paragraph" w:customStyle="1" w:styleId="439">
    <w:name w:val="方案正文"/>
    <w:basedOn w:val="1"/>
    <w:qFormat/>
    <w:uiPriority w:val="0"/>
    <w:pPr>
      <w:spacing w:before="156" w:line="360" w:lineRule="auto"/>
      <w:ind w:firstLine="359" w:firstLineChars="171"/>
      <w:jc w:val="left"/>
    </w:pPr>
    <w:rPr>
      <w:rFonts w:ascii="Arial" w:hAnsi="Arial"/>
      <w:sz w:val="24"/>
    </w:rPr>
  </w:style>
  <w:style w:type="paragraph" w:customStyle="1" w:styleId="440">
    <w:name w:val="xl39"/>
    <w:basedOn w:val="1"/>
    <w:qFormat/>
    <w:uiPriority w:val="0"/>
    <w:pPr>
      <w:widowControl/>
      <w:pBdr>
        <w:bottom w:val="single" w:color="auto" w:sz="4" w:space="0"/>
      </w:pBdr>
      <w:spacing w:before="100" w:beforeAutospacing="1" w:after="100" w:afterAutospacing="1"/>
      <w:jc w:val="left"/>
    </w:pPr>
    <w:rPr>
      <w:rFonts w:ascii="Arial Unicode MS" w:hAnsi="Arial Unicode MS" w:eastAsia="Arial Unicode MS"/>
      <w:kern w:val="0"/>
      <w:sz w:val="24"/>
    </w:rPr>
  </w:style>
  <w:style w:type="paragraph" w:customStyle="1" w:styleId="441">
    <w:name w:val="样式 标题 2 + Times New Roman 四号 非加粗 段前: 5 磅 段后: 0 磅 行距: 固定值 20..."/>
    <w:basedOn w:val="5"/>
    <w:qFormat/>
    <w:uiPriority w:val="0"/>
    <w:pPr>
      <w:spacing w:before="100" w:after="0" w:line="400" w:lineRule="exact"/>
    </w:pPr>
    <w:rPr>
      <w:rFonts w:ascii="Times New Roman" w:hAnsi="Times New Roman" w:cs="宋体"/>
      <w:b/>
      <w:bCs w:val="0"/>
      <w:sz w:val="28"/>
      <w:szCs w:val="20"/>
    </w:rPr>
  </w:style>
  <w:style w:type="paragraph" w:customStyle="1" w:styleId="442">
    <w:name w:val="Table Contents"/>
    <w:basedOn w:val="22"/>
    <w:qFormat/>
    <w:uiPriority w:val="0"/>
    <w:pPr>
      <w:suppressAutoHyphens/>
      <w:jc w:val="left"/>
    </w:pPr>
    <w:rPr>
      <w:rFonts w:eastAsia="Times New Roman"/>
      <w:kern w:val="0"/>
      <w:sz w:val="24"/>
      <w:szCs w:val="20"/>
    </w:rPr>
  </w:style>
  <w:style w:type="paragraph" w:customStyle="1" w:styleId="443">
    <w:name w:val="默认段落字体 Para Char Char Char Char"/>
    <w:basedOn w:val="1"/>
    <w:qFormat/>
    <w:uiPriority w:val="0"/>
    <w:rPr>
      <w:szCs w:val="24"/>
    </w:rPr>
  </w:style>
  <w:style w:type="paragraph" w:customStyle="1" w:styleId="444">
    <w:name w:val="样式 小四正文 + 首行缩进:  2 字符 段前: 0.5 行"/>
    <w:basedOn w:val="1"/>
    <w:qFormat/>
    <w:uiPriority w:val="0"/>
    <w:pPr>
      <w:spacing w:before="50" w:beforeLines="50" w:line="360" w:lineRule="auto"/>
      <w:ind w:firstLine="200" w:firstLineChars="200"/>
    </w:pPr>
    <w:rPr>
      <w:rFonts w:ascii="宋体" w:hAnsi="宋体"/>
      <w:bCs/>
      <w:sz w:val="24"/>
    </w:rPr>
  </w:style>
  <w:style w:type="paragraph" w:customStyle="1" w:styleId="445">
    <w:name w:val="标题 2 + Times New Roman 加粗 黑色 首行缩进:  2 字符 行距: 2 倍行距 + 段前..."/>
    <w:basedOn w:val="1"/>
    <w:next w:val="1"/>
    <w:qFormat/>
    <w:uiPriority w:val="0"/>
    <w:pPr>
      <w:adjustRightInd w:val="0"/>
      <w:snapToGrid w:val="0"/>
      <w:spacing w:before="468" w:beforeLines="150" w:after="156" w:afterLines="50" w:line="360" w:lineRule="auto"/>
      <w:outlineLvl w:val="0"/>
    </w:pPr>
    <w:rPr>
      <w:rFonts w:eastAsia="黑体"/>
      <w:b/>
      <w:color w:val="000000"/>
      <w:kern w:val="0"/>
      <w:sz w:val="32"/>
      <w:szCs w:val="32"/>
    </w:rPr>
  </w:style>
  <w:style w:type="paragraph" w:customStyle="1" w:styleId="446">
    <w:name w:val="Char Char5 Char Char Char Char"/>
    <w:basedOn w:val="18"/>
    <w:qFormat/>
    <w:uiPriority w:val="0"/>
    <w:rPr>
      <w:rFonts w:ascii="Tahoma" w:hAnsi="Tahoma" w:eastAsia="Times New Roman"/>
      <w:sz w:val="24"/>
      <w:szCs w:val="24"/>
    </w:rPr>
  </w:style>
  <w:style w:type="paragraph" w:customStyle="1" w:styleId="447">
    <w:name w:val="前言、引言标题"/>
    <w:next w:val="1"/>
    <w:qFormat/>
    <w:uiPriority w:val="0"/>
    <w:pPr>
      <w:shd w:val="clear" w:color="FFFFFF" w:fill="FFFFFF"/>
      <w:tabs>
        <w:tab w:val="left" w:pos="425"/>
      </w:tabs>
      <w:spacing w:before="640" w:after="560"/>
      <w:ind w:left="425" w:hanging="425"/>
      <w:jc w:val="center"/>
      <w:outlineLvl w:val="0"/>
    </w:pPr>
    <w:rPr>
      <w:rFonts w:ascii="黑体" w:hAnsi="Times New Roman" w:eastAsia="黑体" w:cs="Times New Roman"/>
      <w:sz w:val="32"/>
      <w:lang w:val="en-US" w:eastAsia="zh-CN" w:bidi="ar-SA"/>
    </w:rPr>
  </w:style>
  <w:style w:type="paragraph" w:customStyle="1" w:styleId="448">
    <w:name w:val="xl53"/>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rPr>
  </w:style>
  <w:style w:type="paragraph" w:customStyle="1" w:styleId="449">
    <w:name w:val="样式 标题 1 + 黑体 三号 非加粗 居中 段前: 6 磅 段后: 6 磅 行距: 固定值 20 磅"/>
    <w:basedOn w:val="4"/>
    <w:qFormat/>
    <w:uiPriority w:val="0"/>
    <w:pPr>
      <w:spacing w:before="120" w:after="120" w:line="400" w:lineRule="exact"/>
    </w:pPr>
    <w:rPr>
      <w:rFonts w:ascii="黑体" w:hAnsi="黑体" w:eastAsia="黑体" w:cs="宋体"/>
      <w:b w:val="0"/>
      <w:bCs w:val="0"/>
      <w:sz w:val="32"/>
      <w:szCs w:val="20"/>
    </w:rPr>
  </w:style>
  <w:style w:type="paragraph" w:customStyle="1" w:styleId="450">
    <w:name w:val="new sinograin"/>
    <w:basedOn w:val="1"/>
    <w:qFormat/>
    <w:uiPriority w:val="0"/>
    <w:pPr>
      <w:topLinePunct/>
      <w:ind w:firstLine="200" w:firstLineChars="200"/>
    </w:pPr>
  </w:style>
  <w:style w:type="paragraph" w:customStyle="1" w:styleId="451">
    <w:name w:val="_正文段落"/>
    <w:basedOn w:val="1"/>
    <w:qFormat/>
    <w:uiPriority w:val="0"/>
    <w:pPr>
      <w:spacing w:before="46" w:beforeLines="15" w:after="46" w:afterLines="15"/>
      <w:ind w:firstLine="480" w:firstLineChars="200"/>
    </w:pPr>
    <w:rPr>
      <w:rFonts w:ascii="宋体" w:hAnsi="宋体"/>
      <w:sz w:val="24"/>
    </w:rPr>
  </w:style>
  <w:style w:type="paragraph" w:customStyle="1" w:styleId="452">
    <w:name w:val="MyTest"/>
    <w:basedOn w:val="55"/>
    <w:qFormat/>
    <w:uiPriority w:val="0"/>
    <w:pPr>
      <w:spacing w:after="0" w:line="360" w:lineRule="auto"/>
      <w:ind w:left="0" w:leftChars="0" w:firstLine="200"/>
    </w:pPr>
    <w:rPr>
      <w:rFonts w:eastAsia="宋体"/>
      <w:sz w:val="24"/>
      <w:szCs w:val="20"/>
    </w:rPr>
  </w:style>
  <w:style w:type="paragraph" w:customStyle="1" w:styleId="453">
    <w:name w:val="Fließtext"/>
    <w:basedOn w:val="1"/>
    <w:qFormat/>
    <w:uiPriority w:val="99"/>
    <w:pPr>
      <w:overflowPunct w:val="0"/>
      <w:autoSpaceDE w:val="0"/>
      <w:autoSpaceDN w:val="0"/>
      <w:adjustRightInd w:val="0"/>
      <w:textAlignment w:val="baseline"/>
    </w:pPr>
    <w:rPr>
      <w:rFonts w:hint="eastAsia" w:ascii="Calibri" w:hAnsi="Calibri"/>
      <w:kern w:val="28"/>
    </w:rPr>
  </w:style>
  <w:style w:type="paragraph" w:customStyle="1" w:styleId="454">
    <w:name w:val="四级"/>
    <w:basedOn w:val="7"/>
    <w:qFormat/>
    <w:uiPriority w:val="0"/>
    <w:pPr>
      <w:numPr>
        <w:ilvl w:val="3"/>
        <w:numId w:val="6"/>
      </w:numPr>
      <w:tabs>
        <w:tab w:val="left" w:pos="1620"/>
      </w:tabs>
      <w:spacing w:before="120" w:after="120" w:line="240" w:lineRule="auto"/>
    </w:pPr>
    <w:rPr>
      <w:rFonts w:ascii="Cambria" w:hAnsi="Cambria" w:eastAsia="Cambria"/>
      <w:bCs w:val="0"/>
      <w:color w:val="000000"/>
      <w:lang w:val="en-US"/>
    </w:rPr>
  </w:style>
  <w:style w:type="paragraph" w:customStyle="1" w:styleId="455">
    <w:name w:val="二级"/>
    <w:basedOn w:val="5"/>
    <w:qFormat/>
    <w:uiPriority w:val="0"/>
    <w:pPr>
      <w:numPr>
        <w:ilvl w:val="1"/>
        <w:numId w:val="6"/>
      </w:numPr>
      <w:tabs>
        <w:tab w:val="clear" w:pos="2410"/>
      </w:tabs>
      <w:spacing w:before="240" w:after="240" w:line="240" w:lineRule="auto"/>
      <w:jc w:val="center"/>
    </w:pPr>
    <w:rPr>
      <w:b/>
      <w:bCs w:val="0"/>
      <w:sz w:val="84"/>
      <w:szCs w:val="20"/>
      <w:lang w:val="en-US"/>
    </w:rPr>
  </w:style>
  <w:style w:type="character" w:customStyle="1" w:styleId="456">
    <w:name w:val="img_bg_cover"/>
    <w:basedOn w:val="58"/>
    <w:qFormat/>
    <w:uiPriority w:val="0"/>
  </w:style>
  <w:style w:type="character" w:customStyle="1" w:styleId="457">
    <w:name w:val="pgebreak"/>
    <w:basedOn w:val="58"/>
    <w:qFormat/>
    <w:uiPriority w:val="0"/>
  </w:style>
  <w:style w:type="character" w:customStyle="1" w:styleId="458">
    <w:name w:val="first-child"/>
    <w:basedOn w:val="58"/>
    <w:qFormat/>
    <w:uiPriority w:val="0"/>
  </w:style>
  <w:style w:type="character" w:customStyle="1" w:styleId="459">
    <w:name w:val="now"/>
    <w:basedOn w:val="58"/>
    <w:qFormat/>
    <w:uiPriority w:val="0"/>
    <w:rPr>
      <w:shd w:val="clear" w:color="auto" w:fill="FFFFFF"/>
    </w:rPr>
  </w:style>
  <w:style w:type="character" w:customStyle="1" w:styleId="460">
    <w:name w:val="layui-layer-tabnow"/>
    <w:basedOn w:val="58"/>
    <w:qFormat/>
    <w:uiPriority w:val="0"/>
    <w:rPr>
      <w:bdr w:val="single" w:color="CCCCCC" w:sz="6" w:space="0"/>
      <w:shd w:val="clear" w:color="auto" w:fill="FFFFFF"/>
    </w:rPr>
  </w:style>
  <w:style w:type="paragraph" w:styleId="461">
    <w:name w:val="List Paragraph"/>
    <w:basedOn w:val="1"/>
    <w:qFormat/>
    <w:uiPriority w:val="99"/>
    <w:pPr>
      <w:ind w:firstLine="420" w:firstLineChars="200"/>
    </w:pPr>
  </w:style>
  <w:style w:type="paragraph" w:customStyle="1" w:styleId="462">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paragraph" w:customStyle="1" w:styleId="463">
    <w:name w:val="首行缩进"/>
    <w:basedOn w:val="1"/>
    <w:qFormat/>
    <w:uiPriority w:val="99"/>
    <w:pPr>
      <w:spacing w:line="360" w:lineRule="auto"/>
      <w:ind w:firstLine="480"/>
      <w:jc w:val="left"/>
    </w:pPr>
    <w:rPr>
      <w:rFonts w:ascii="宋体" w:hAnsi="宋体"/>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42</Pages>
  <Words>4749</Words>
  <Characters>27075</Characters>
  <Lines>225</Lines>
  <Paragraphs>63</Paragraphs>
  <TotalTime>17</TotalTime>
  <ScaleCrop>false</ScaleCrop>
  <LinksUpToDate>false</LinksUpToDate>
  <CharactersWithSpaces>31761</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2021-06-17T06:50:00Z</dcterms:created>
  <dc:creator>xh</dc:creator>
  <cp:lastModifiedBy>Administrator</cp:lastModifiedBy>
  <cp:lastPrinted>2021-06-11T02:38:00Z</cp:lastPrinted>
  <dcterms:modified xsi:type="dcterms:W3CDTF">2021-06-18T04:44:11Z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529D7D45A90141C79A192629C8020978</vt:lpwstr>
  </property>
</Properties>
</file>